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28C" w:rsidRDefault="008A528C">
      <w:pPr>
        <w:pStyle w:val="ConsPlusTitle"/>
        <w:jc w:val="center"/>
        <w:outlineLvl w:val="0"/>
      </w:pPr>
      <w:r>
        <w:t>МИНИСТЕРСТВО ФИНАНСОВ РОССИЙСКОЙ ФЕДЕРАЦИИ</w:t>
      </w:r>
    </w:p>
    <w:p w:rsidR="008A528C" w:rsidRDefault="008A528C">
      <w:pPr>
        <w:pStyle w:val="ConsPlusTitle"/>
        <w:jc w:val="center"/>
      </w:pPr>
      <w:bookmarkStart w:id="0" w:name="_GoBack"/>
      <w:bookmarkEnd w:id="0"/>
    </w:p>
    <w:p w:rsidR="008A528C" w:rsidRDefault="008A528C">
      <w:pPr>
        <w:pStyle w:val="ConsPlusTitle"/>
        <w:jc w:val="center"/>
      </w:pPr>
      <w:r>
        <w:t>ФЕДЕРАЛЬНОЕ КАЗНАЧЕЙСТВО</w:t>
      </w:r>
    </w:p>
    <w:p w:rsidR="008A528C" w:rsidRDefault="008A528C">
      <w:pPr>
        <w:pStyle w:val="ConsPlusTitle"/>
        <w:jc w:val="center"/>
      </w:pPr>
    </w:p>
    <w:p w:rsidR="008A528C" w:rsidRDefault="008A528C">
      <w:pPr>
        <w:pStyle w:val="ConsPlusTitle"/>
        <w:jc w:val="center"/>
      </w:pPr>
      <w:r>
        <w:t>ПРИКАЗ</w:t>
      </w:r>
    </w:p>
    <w:p w:rsidR="008A528C" w:rsidRDefault="008A528C">
      <w:pPr>
        <w:pStyle w:val="ConsPlusTitle"/>
        <w:jc w:val="center"/>
      </w:pPr>
      <w:r>
        <w:t>от 30 декабря 2016 г. N 512</w:t>
      </w:r>
    </w:p>
    <w:p w:rsidR="008A528C" w:rsidRDefault="008A528C">
      <w:pPr>
        <w:pStyle w:val="ConsPlusTitle"/>
        <w:jc w:val="center"/>
      </w:pPr>
    </w:p>
    <w:p w:rsidR="008A528C" w:rsidRDefault="008A528C">
      <w:pPr>
        <w:pStyle w:val="ConsPlusTitle"/>
        <w:jc w:val="center"/>
      </w:pPr>
      <w:r>
        <w:t xml:space="preserve">ОБ УТВЕРЖДЕНИИ ПОРЯДКА МОНИТОРИНГА </w:t>
      </w:r>
      <w:proofErr w:type="gramStart"/>
      <w:r>
        <w:t>В</w:t>
      </w:r>
      <w:proofErr w:type="gramEnd"/>
      <w:r>
        <w:t xml:space="preserve"> ФЕДЕРАЛЬНОМ</w:t>
      </w:r>
    </w:p>
    <w:p w:rsidR="008A528C" w:rsidRDefault="008A528C">
      <w:pPr>
        <w:pStyle w:val="ConsPlusTitle"/>
        <w:jc w:val="center"/>
      </w:pPr>
      <w:proofErr w:type="gramStart"/>
      <w:r>
        <w:t>КАЗНАЧЕЙСТВЕ</w:t>
      </w:r>
      <w:proofErr w:type="gramEnd"/>
      <w:r>
        <w:t xml:space="preserve"> ИНФОРМАЦИИ, ПРЕДСТАВЛЯЕМОЙ В ПОДСИСТЕМУ</w:t>
      </w:r>
    </w:p>
    <w:p w:rsidR="008A528C" w:rsidRDefault="008A528C">
      <w:pPr>
        <w:pStyle w:val="ConsPlusTitle"/>
        <w:jc w:val="center"/>
      </w:pPr>
      <w:r>
        <w:t xml:space="preserve">"УЧЕТ И ОТЧЕТНОСТЬ" </w:t>
      </w:r>
      <w:proofErr w:type="gramStart"/>
      <w:r>
        <w:t>ГОСУДАРСТВЕННОЙ</w:t>
      </w:r>
      <w:proofErr w:type="gramEnd"/>
      <w:r>
        <w:t xml:space="preserve"> ИНТЕГРИРОВАННОЙ</w:t>
      </w:r>
    </w:p>
    <w:p w:rsidR="008A528C" w:rsidRDefault="008A528C">
      <w:pPr>
        <w:pStyle w:val="ConsPlusTitle"/>
        <w:jc w:val="center"/>
      </w:pPr>
      <w:r>
        <w:t xml:space="preserve">ИНФОРМАЦИОННОЙ СИСТЕМЫ УПРАВЛЕНИЯ </w:t>
      </w:r>
      <w:proofErr w:type="gramStart"/>
      <w:r>
        <w:t>ОБЩЕСТВЕННЫМИ</w:t>
      </w:r>
      <w:proofErr w:type="gramEnd"/>
    </w:p>
    <w:p w:rsidR="008A528C" w:rsidRDefault="008A528C">
      <w:pPr>
        <w:pStyle w:val="ConsPlusTitle"/>
        <w:jc w:val="center"/>
      </w:pPr>
      <w:r>
        <w:t>ФИНАНСАМИ "ЭЛЕКТРОННЫЙ БЮДЖЕТ"</w:t>
      </w:r>
    </w:p>
    <w:p w:rsidR="008A528C" w:rsidRDefault="008A528C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8A528C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8A528C" w:rsidRDefault="008A528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A528C" w:rsidRDefault="008A528C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Казначейства России от 10.07.2017 </w:t>
            </w:r>
            <w:hyperlink r:id="rId5" w:history="1">
              <w:r>
                <w:rPr>
                  <w:color w:val="0000FF"/>
                </w:rPr>
                <w:t>N 163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8A528C" w:rsidRDefault="008A528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27.10.2017 </w:t>
            </w:r>
            <w:hyperlink r:id="rId6" w:history="1">
              <w:r>
                <w:rPr>
                  <w:color w:val="0000FF"/>
                </w:rPr>
                <w:t>N 293</w:t>
              </w:r>
            </w:hyperlink>
            <w:r>
              <w:rPr>
                <w:color w:val="392C69"/>
              </w:rPr>
              <w:t xml:space="preserve">, от 26.01.2018 </w:t>
            </w:r>
            <w:hyperlink r:id="rId7" w:history="1">
              <w:r>
                <w:rPr>
                  <w:color w:val="0000FF"/>
                </w:rPr>
                <w:t>N 10</w:t>
              </w:r>
            </w:hyperlink>
            <w:r>
              <w:rPr>
                <w:color w:val="392C69"/>
              </w:rPr>
              <w:t xml:space="preserve">, от 26.09.2018 </w:t>
            </w:r>
            <w:hyperlink r:id="rId8" w:history="1">
              <w:r>
                <w:rPr>
                  <w:color w:val="0000FF"/>
                </w:rPr>
                <w:t>N 279</w:t>
              </w:r>
            </w:hyperlink>
            <w:r>
              <w:rPr>
                <w:color w:val="392C69"/>
              </w:rPr>
              <w:t>,</w:t>
            </w:r>
          </w:p>
          <w:p w:rsidR="008A528C" w:rsidRDefault="008A528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30.01.2019 </w:t>
            </w:r>
            <w:hyperlink r:id="rId9" w:history="1">
              <w:r>
                <w:rPr>
                  <w:color w:val="0000FF"/>
                </w:rPr>
                <w:t>N 17</w:t>
              </w:r>
            </w:hyperlink>
            <w:r>
              <w:rPr>
                <w:color w:val="392C69"/>
              </w:rPr>
              <w:t xml:space="preserve">, от 04.09.2019 </w:t>
            </w:r>
            <w:hyperlink r:id="rId10" w:history="1">
              <w:r>
                <w:rPr>
                  <w:color w:val="0000FF"/>
                </w:rPr>
                <w:t>N 236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8A528C" w:rsidRDefault="008A528C">
      <w:pPr>
        <w:pStyle w:val="ConsPlusNormal"/>
        <w:jc w:val="center"/>
      </w:pPr>
    </w:p>
    <w:p w:rsidR="008A528C" w:rsidRDefault="008A528C">
      <w:pPr>
        <w:pStyle w:val="ConsPlusNormal"/>
        <w:ind w:firstLine="540"/>
        <w:jc w:val="both"/>
      </w:pPr>
      <w:proofErr w:type="gramStart"/>
      <w:r>
        <w:t xml:space="preserve">В целях реализации </w:t>
      </w:r>
      <w:hyperlink r:id="rId11" w:history="1">
        <w:r>
          <w:rPr>
            <w:color w:val="0000FF"/>
          </w:rPr>
          <w:t>раздела VII</w:t>
        </w:r>
      </w:hyperlink>
      <w:r>
        <w:t xml:space="preserve">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 декабря 2010 г. N 191н (зарегистрирован в Министерстве юстиции Российской Федерации 3 февраля 2011 г., регистрационный номер 19693; Российская газета, 2011, 5 марта) &lt;1&gt;, приказываю:</w:t>
      </w:r>
      <w:proofErr w:type="gramEnd"/>
    </w:p>
    <w:p w:rsidR="008A528C" w:rsidRDefault="008A528C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t>&lt;1</w:t>
      </w:r>
      <w:proofErr w:type="gramStart"/>
      <w:r>
        <w:t>&gt; С</w:t>
      </w:r>
      <w:proofErr w:type="gramEnd"/>
      <w:r>
        <w:t xml:space="preserve"> изменениями, внесенными приказами Министерства финансов Российской Федерации от 29 декабря 2011 г. N 191н (зарегистрирован в Министерстве юстиции Российской Федерации 16 февраля 2012 г., регистрационный номер 23229; Российская газета, 2012, 23 марта), от 26 октября 2012 г. N 138н (зарегистрирован в Министерстве юстиции Российской Федерации 21 декабря 2012 г., регистрационный номер 26253; Бюллетень нормативных актов федеральных органов исполнительной власти, 2013, N 11), от 19 декабря 2014 г. N 157н (зарегистрирован в Министерстве юстиции Российской Федерации 4 февраля 2015 г., регистрационный номер 35856; официальный интернет-портал правовой информации http://www.pravo.gov.ru, 6 февраля 2015 г.), от 26 августа 2015 г. N 135н (зарегистрирован в Министерстве юстиции Российской Федерации 4 сентября 2015 г., регистрационный номер 38821; официальный интернет-портал правовой информации http://www.pravo.gov.ru, 8 сентября 2015 г.), от 31 декабря 2015 г. N 229н (зарегистрирован в Министерстве юстиции Российской Федерации 3 марта 2016 г., регистрационный номер 41312; официальный интернет-портал правовой информации http://www.pravo.gov.ru, 9 марта 2016 г.), от 16 ноября 2016 г. N 209н (зарегистрирован в Министерстве юстиции Российской Федерации 15 декабря 2016 г., регистрационный номер 44741; официальный интернет-портал правовой информации http://www.pravo.gov.ru, 19 декабря 2016 г.)</w:t>
      </w:r>
    </w:p>
    <w:p w:rsidR="008A528C" w:rsidRDefault="008A528C">
      <w:pPr>
        <w:pStyle w:val="ConsPlusNormal"/>
        <w:ind w:firstLine="540"/>
        <w:jc w:val="both"/>
      </w:pPr>
    </w:p>
    <w:p w:rsidR="008A528C" w:rsidRDefault="008A528C">
      <w:pPr>
        <w:pStyle w:val="ConsPlusNormal"/>
        <w:ind w:firstLine="540"/>
        <w:jc w:val="both"/>
      </w:pPr>
      <w:r>
        <w:t xml:space="preserve">1. Утвердить прилагаемый </w:t>
      </w:r>
      <w:hyperlink w:anchor="P39" w:history="1">
        <w:r>
          <w:rPr>
            <w:color w:val="0000FF"/>
          </w:rPr>
          <w:t>Порядок</w:t>
        </w:r>
      </w:hyperlink>
      <w:r>
        <w:t xml:space="preserve"> мониторинга в Федеральном казначействе информации, представляемой в подсистему "Учет и отчетность" государственной интегрированной информационной системы управления общественными финансами "Электронный бюджет".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t xml:space="preserve">2. Исключен. - </w:t>
      </w:r>
      <w:hyperlink r:id="rId12" w:history="1">
        <w:r>
          <w:rPr>
            <w:color w:val="0000FF"/>
          </w:rPr>
          <w:t>Приказ</w:t>
        </w:r>
      </w:hyperlink>
      <w:r>
        <w:t xml:space="preserve"> Казначейства России от 26.09.2018 N 279.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t>2. Управлению развития информационных систем (Н.В. Гвоздева) обеспечить доработку программного обеспечения в установленном порядке.</w:t>
      </w:r>
    </w:p>
    <w:p w:rsidR="008A528C" w:rsidRDefault="008A528C">
      <w:pPr>
        <w:pStyle w:val="ConsPlusNormal"/>
        <w:jc w:val="both"/>
      </w:pPr>
      <w:r>
        <w:lastRenderedPageBreak/>
        <w:t>(</w:t>
      </w:r>
      <w:proofErr w:type="gramStart"/>
      <w:r>
        <w:t>п</w:t>
      </w:r>
      <w:proofErr w:type="gramEnd"/>
      <w:r>
        <w:t xml:space="preserve">. 2 в ред. </w:t>
      </w:r>
      <w:hyperlink r:id="rId13" w:history="1">
        <w:r>
          <w:rPr>
            <w:color w:val="0000FF"/>
          </w:rPr>
          <w:t>Приказа</w:t>
        </w:r>
      </w:hyperlink>
      <w:r>
        <w:t xml:space="preserve"> Казначейства России от 26.09.2018 N 279)</w:t>
      </w:r>
    </w:p>
    <w:p w:rsidR="008A528C" w:rsidRDefault="008A528C">
      <w:pPr>
        <w:pStyle w:val="ConsPlusNormal"/>
        <w:jc w:val="right"/>
      </w:pPr>
    </w:p>
    <w:p w:rsidR="008A528C" w:rsidRDefault="008A528C">
      <w:pPr>
        <w:pStyle w:val="ConsPlusNormal"/>
        <w:jc w:val="right"/>
      </w:pPr>
      <w:r>
        <w:t>Руководитель</w:t>
      </w:r>
    </w:p>
    <w:p w:rsidR="008A528C" w:rsidRDefault="008A528C">
      <w:pPr>
        <w:pStyle w:val="ConsPlusNormal"/>
        <w:jc w:val="right"/>
      </w:pPr>
      <w:r>
        <w:t>Р.Е.АРТЮХИН</w:t>
      </w:r>
    </w:p>
    <w:p w:rsidR="008A528C" w:rsidRDefault="008A528C">
      <w:pPr>
        <w:pStyle w:val="ConsPlusNormal"/>
        <w:jc w:val="right"/>
      </w:pPr>
    </w:p>
    <w:p w:rsidR="008A528C" w:rsidRDefault="008A528C">
      <w:pPr>
        <w:pStyle w:val="ConsPlusNormal"/>
        <w:jc w:val="right"/>
      </w:pPr>
    </w:p>
    <w:p w:rsidR="008A528C" w:rsidRDefault="008A528C">
      <w:pPr>
        <w:pStyle w:val="ConsPlusNormal"/>
        <w:jc w:val="right"/>
      </w:pPr>
    </w:p>
    <w:p w:rsidR="008A528C" w:rsidRDefault="008A528C">
      <w:pPr>
        <w:pStyle w:val="ConsPlusNormal"/>
        <w:jc w:val="right"/>
      </w:pPr>
    </w:p>
    <w:p w:rsidR="008A528C" w:rsidRDefault="008A528C">
      <w:pPr>
        <w:pStyle w:val="ConsPlusNormal"/>
        <w:jc w:val="right"/>
      </w:pPr>
    </w:p>
    <w:p w:rsidR="008A528C" w:rsidRDefault="008A528C">
      <w:pPr>
        <w:pStyle w:val="ConsPlusNormal"/>
        <w:jc w:val="right"/>
        <w:outlineLvl w:val="0"/>
      </w:pPr>
      <w:r>
        <w:t>Утвержден</w:t>
      </w:r>
    </w:p>
    <w:p w:rsidR="008A528C" w:rsidRDefault="008A528C">
      <w:pPr>
        <w:pStyle w:val="ConsPlusNormal"/>
        <w:jc w:val="right"/>
      </w:pPr>
      <w:r>
        <w:t>приказом</w:t>
      </w:r>
    </w:p>
    <w:p w:rsidR="008A528C" w:rsidRDefault="008A528C">
      <w:pPr>
        <w:pStyle w:val="ConsPlusNormal"/>
        <w:jc w:val="right"/>
      </w:pPr>
      <w:r>
        <w:t>Федерального казначейства</w:t>
      </w:r>
    </w:p>
    <w:p w:rsidR="008A528C" w:rsidRDefault="008A528C">
      <w:pPr>
        <w:pStyle w:val="ConsPlusNormal"/>
        <w:jc w:val="right"/>
      </w:pPr>
      <w:r>
        <w:t>от 30 декабря 2016 г. N 512</w:t>
      </w:r>
    </w:p>
    <w:p w:rsidR="008A528C" w:rsidRDefault="008A528C">
      <w:pPr>
        <w:pStyle w:val="ConsPlusNormal"/>
        <w:jc w:val="right"/>
      </w:pPr>
    </w:p>
    <w:p w:rsidR="008A528C" w:rsidRDefault="008A528C">
      <w:pPr>
        <w:pStyle w:val="ConsPlusTitle"/>
        <w:jc w:val="center"/>
      </w:pPr>
      <w:bookmarkStart w:id="1" w:name="P39"/>
      <w:bookmarkEnd w:id="1"/>
      <w:r>
        <w:t>ПОРЯДОК</w:t>
      </w:r>
    </w:p>
    <w:p w:rsidR="008A528C" w:rsidRDefault="008A528C">
      <w:pPr>
        <w:pStyle w:val="ConsPlusTitle"/>
        <w:jc w:val="center"/>
      </w:pPr>
      <w:r>
        <w:t>МОНИТОРИНГА В ФЕДЕРАЛЬНОМ КАЗНАЧЕЙСТВЕ ИНФОРМАЦИИ,</w:t>
      </w:r>
    </w:p>
    <w:p w:rsidR="008A528C" w:rsidRDefault="008A528C">
      <w:pPr>
        <w:pStyle w:val="ConsPlusTitle"/>
        <w:jc w:val="center"/>
      </w:pPr>
      <w:proofErr w:type="gramStart"/>
      <w:r>
        <w:t>ПРЕДСТАВЛЯЕМОЙ В ПОДСИСТЕМУ "УЧЕТ И ОТЧЕТНОСТЬ"</w:t>
      </w:r>
      <w:proofErr w:type="gramEnd"/>
    </w:p>
    <w:p w:rsidR="008A528C" w:rsidRDefault="008A528C">
      <w:pPr>
        <w:pStyle w:val="ConsPlusTitle"/>
        <w:jc w:val="center"/>
      </w:pPr>
      <w:r>
        <w:t>ГОСУДАРСТВЕННОЙ ИНТЕГРИРОВАННОЙ ИНФОРМАЦИОННОЙ СИСТЕМЫ</w:t>
      </w:r>
    </w:p>
    <w:p w:rsidR="008A528C" w:rsidRDefault="008A528C">
      <w:pPr>
        <w:pStyle w:val="ConsPlusTitle"/>
        <w:jc w:val="center"/>
      </w:pPr>
      <w:r>
        <w:t>УПРАВЛЕНИЯ ОБЩЕСТВЕННЫМИ ФИНАНСАМИ "ЭЛЕКТРОННЫЙ БЮДЖЕТ"</w:t>
      </w:r>
    </w:p>
    <w:p w:rsidR="008A528C" w:rsidRDefault="008A528C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8A528C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8A528C" w:rsidRDefault="008A528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A528C" w:rsidRDefault="008A528C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4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Казначейства России от 04.09.2019 N 236)</w:t>
            </w:r>
          </w:p>
        </w:tc>
      </w:tr>
    </w:tbl>
    <w:p w:rsidR="008A528C" w:rsidRDefault="008A528C">
      <w:pPr>
        <w:pStyle w:val="ConsPlusNormal"/>
        <w:jc w:val="right"/>
      </w:pPr>
    </w:p>
    <w:p w:rsidR="008A528C" w:rsidRDefault="008A528C">
      <w:pPr>
        <w:pStyle w:val="ConsPlusTitle"/>
        <w:jc w:val="center"/>
        <w:outlineLvl w:val="1"/>
      </w:pPr>
      <w:r>
        <w:t>1. Общие положения</w:t>
      </w:r>
    </w:p>
    <w:p w:rsidR="008A528C" w:rsidRDefault="008A528C">
      <w:pPr>
        <w:pStyle w:val="ConsPlusNormal"/>
        <w:jc w:val="center"/>
      </w:pPr>
    </w:p>
    <w:p w:rsidR="008A528C" w:rsidRDefault="008A528C">
      <w:pPr>
        <w:pStyle w:val="ConsPlusNormal"/>
        <w:ind w:firstLine="540"/>
        <w:jc w:val="both"/>
      </w:pPr>
      <w:r>
        <w:t xml:space="preserve">1.1. </w:t>
      </w:r>
      <w:proofErr w:type="gramStart"/>
      <w:r>
        <w:t>Настоящий Порядок определяет требования к организации в Федеральном казначействе и управлениях Федерального казначейства по субъектам Российской Федерации (далее - УФК) мониторинга информации, представляемой в подсистему "Учет и отчетность" государственной интегрированной информационной системы управления общественными финансами "Электронный бюджет" (далее - Подсистема) получателями средств федерального бюджета, распорядителями средств федерального бюджета, администраторами доходов федерального бюджета, администраторами источников финансирования дефицита федерального бюджета, федеральными бюджетными и автономными</w:t>
      </w:r>
      <w:proofErr w:type="gramEnd"/>
      <w:r>
        <w:t xml:space="preserve"> учреждениями, иными </w:t>
      </w:r>
      <w:proofErr w:type="gramStart"/>
      <w:r>
        <w:t>организациями</w:t>
      </w:r>
      <w:proofErr w:type="gramEnd"/>
      <w:r>
        <w:t xml:space="preserve"> в отношении которых функции и полномочия учредителя осуществляются главными распорядителями средств федерального бюджета, лицевые счета которых открыты в соответствующем УФК (далее - субъект мониторинга).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t>1.2. Под мониторингом информации, представляемой в Подсистему, понимается: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t>анализ полноты и своевременности представления бюджетной (бухгалтерской) отчетности (далее - Отчетность), представляемой в Подсистему;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t>сбор, обобщение и анализ информации о показателях представленной Отчетности.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t>1.3. УФК осуществляет мониторинг информации, предоставляемой в Подсистему по субъектам мониторинга, подведомственным главным распорядителям бюджетных средств федерального бюджета, главным администраторам доходов федерального бюджета, главным администраторам источников финансирования дефицита бюджета (далее - главные администраторы средств федерального бюджета), перечень которых доводится Федеральным казначейством.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t xml:space="preserve">Мониторинг информации осуществляется ежеквартально и ежегодно в срок, установленный Федеральным казначейством для представления Сведений о результатах мониторинга информации, представляемой в подсистему учета и отчетности государственной интегрированной </w:t>
      </w:r>
      <w:r>
        <w:lastRenderedPageBreak/>
        <w:t>информационной системы управления общественными финансами "Электронный бюджет" (далее - Сведения) (приложение к настоящему порядку).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t>1.4. По результатам проведенного мониторинга осуществляется формирование и представление Сведений по субъектам мониторинга, подведомственным главным администраторам средств федерального бюджета, перечень которых доводится Федеральным казначейством.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t>Федеральное казначейство направляет в УФК перечень главных администраторов средств федерального бюджета, периодичность и сроки представления Сведений по мере необходимости.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t>1.5. Управление централизованной бухгалтерии Федерального казначейства осуществляет координацию мониторинга информации, представляемой в Подсистему.</w:t>
      </w:r>
    </w:p>
    <w:p w:rsidR="008A528C" w:rsidRDefault="008A528C">
      <w:pPr>
        <w:pStyle w:val="ConsPlusNormal"/>
        <w:jc w:val="both"/>
      </w:pPr>
    </w:p>
    <w:p w:rsidR="008A528C" w:rsidRDefault="008A528C">
      <w:pPr>
        <w:pStyle w:val="ConsPlusTitle"/>
        <w:jc w:val="center"/>
        <w:outlineLvl w:val="1"/>
      </w:pPr>
      <w:r>
        <w:t>2. Требования к организации в УФК мониторинга информации,</w:t>
      </w:r>
    </w:p>
    <w:p w:rsidR="008A528C" w:rsidRDefault="008A528C">
      <w:pPr>
        <w:pStyle w:val="ConsPlusTitle"/>
        <w:jc w:val="center"/>
      </w:pPr>
      <w:proofErr w:type="gramStart"/>
      <w:r>
        <w:t>представляемой в Подсистему субъектами мониторинга</w:t>
      </w:r>
      <w:proofErr w:type="gramEnd"/>
    </w:p>
    <w:p w:rsidR="008A528C" w:rsidRDefault="008A528C">
      <w:pPr>
        <w:pStyle w:val="ConsPlusNormal"/>
        <w:jc w:val="both"/>
      </w:pPr>
    </w:p>
    <w:p w:rsidR="008A528C" w:rsidRDefault="008A528C">
      <w:pPr>
        <w:pStyle w:val="ConsPlusNormal"/>
        <w:ind w:firstLine="540"/>
        <w:jc w:val="both"/>
      </w:pPr>
      <w:r>
        <w:t>2.1. Мониторинг информации, представляемой в Подсистему субъектами мониторинга, осуществляется Отделом централизованной бухгалтерии УФК.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t>Руководитель УФК определяет заместителя руководителя УФК, осуществляющего общую координацию работы по выполнению указанного мониторинга.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t>2.2. В ходе анализа полноты и своевременности представления Отчетности в Подсистему устанавливается: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t>соответствие состава представленной Отчетности в Подсистему нормативным правовым актам и методическим документам Министерства финансов Российской Федерации;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t>соблюдение субъектами мониторинга сроков представления Отчетности в Подсистему, установленных:</w:t>
      </w:r>
    </w:p>
    <w:p w:rsidR="008A528C" w:rsidRDefault="008A528C">
      <w:pPr>
        <w:pStyle w:val="ConsPlusNormal"/>
        <w:spacing w:before="220"/>
        <w:ind w:firstLine="540"/>
        <w:jc w:val="both"/>
      </w:pPr>
      <w:proofErr w:type="gramStart"/>
      <w:r>
        <w:t xml:space="preserve">а) </w:t>
      </w:r>
      <w:hyperlink r:id="rId15" w:history="1">
        <w:r>
          <w:rPr>
            <w:color w:val="0000FF"/>
          </w:rPr>
          <w:t>пунктами 288</w:t>
        </w:r>
      </w:hyperlink>
      <w:r>
        <w:t xml:space="preserve"> и </w:t>
      </w:r>
      <w:hyperlink r:id="rId16" w:history="1">
        <w:r>
          <w:rPr>
            <w:color w:val="0000FF"/>
          </w:rPr>
          <w:t>289</w:t>
        </w:r>
      </w:hyperlink>
      <w:r>
        <w:t xml:space="preserve">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 декабря 2010 г. N 191н (зарегистрирован в Министерстве юстиции Российской Федерации 3 февраля 2011 г., регистрационный номер 19693; Российская газета, 2011, 5 марта) (далее - Инструкция N 191н) &lt;1&gt;;</w:t>
      </w:r>
      <w:proofErr w:type="gramEnd"/>
    </w:p>
    <w:p w:rsidR="008A528C" w:rsidRDefault="008A528C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t>&lt;1</w:t>
      </w:r>
      <w:proofErr w:type="gramStart"/>
      <w:r>
        <w:t>&gt; С</w:t>
      </w:r>
      <w:proofErr w:type="gramEnd"/>
      <w:r>
        <w:t xml:space="preserve"> изменениями, внесенными приказами Министерства финансов Российской Федерации от 29 декабря 2011 г. N 191н (зарегистрирован в Министерстве юстиции Российской Федерации 16 февраля 2012 г., регистрационный номер 23229; Российская газета, 2012, 23 марта), от 26 октября 2012 г. N 138н (зарегистрирован в Министерстве юстиции Российской Федерации 21 декабря 2012 г., регистрационный номер 26253; Бюллетень нормативных актов федеральных органов исполнительной власти, 2013, N 11), от 19 декабря 2014 г. N 157н (зарегистрирован в Министерстве юстиции Российской Федерации 4 февраля 2015 г., регистрационный номер 35856; Официальный интернет-портал правовой информации http://www.pravo.gov.ru, 6 февраля 2015 г.), от 26 августа 2015 г. N 135н (зарегистрирован в Министерстве юстиции Российской Федерации 4 сентября 2015 г., регистрационный номер 38821; официальный интернет-портал правовой информации http://www.pravo.gov.ru, 8 сентября 2015 г.), от 31 декабря 2015 г. N 229н (зарегистрирован в Министерстве юстиции Российской Федерации 3 марта 2016 г., регистрационный номер 41312; Официальный интернет-портал правовой информации http://www.pravo.gov.ru, 9 марта 2016 г.), от 16 ноября 2016 г. N 209н (зарегистрирован в </w:t>
      </w:r>
      <w:r>
        <w:lastRenderedPageBreak/>
        <w:t xml:space="preserve">Министерстве юстиции Российской Федерации 15 декабря 2016 г., регистрационный номер 44741; Официальный интернет-портал правовой информации http://www.pravo.gov.ru, 19 декабря 2016 г.), от 2 ноября 2017 г. N 176н (зарегистрирован в Министерстве юстиции Российской Федерации 5 декабря 2017 г., регистрационный номер 49101; Официальный интернет-портал правовой информации http://www.pravo.gov.ru, 5 декабря 2017 г.), от 7 марта 2018 г. N 43н (зарегистрирован в Министерстве юстиции Российской Федерации 30 марта 2018 г., регистрационный номер 50573; Официальный интернет-портал правовой информации http://www.pravo.gov.ru, 2 апреля 2018 г.), от 30 ноября 2018 г. N 244н (зарегистрирован в Министерстве юстиции Российской Федерации 27 декабря 2018 г., регистрационный номер 53200; </w:t>
      </w:r>
      <w:proofErr w:type="gramStart"/>
      <w:r>
        <w:t>Официальный интернет-портал правовой информации http://www.pravo.gov.ru, 28.12.2018), от 28.02.2019 N 31н от 28.02.2019 N 31н (зарегистрирован в Министерстве юстиции Российской Федерации 11 апреля 2019 г., регистрационный номер 54342, Официальный интернет-портал правовой информации http://www.pravo.gov.ru, 11 апреля 2019 г.), от 16.05.2019 N 72н (зарегистрирован в Министерстве юстиции Российской Федерации 11 июня 2019 г., регистрационный номер</w:t>
      </w:r>
      <w:proofErr w:type="gramEnd"/>
      <w:r>
        <w:t xml:space="preserve"> </w:t>
      </w:r>
      <w:proofErr w:type="gramStart"/>
      <w:r>
        <w:t>54911; Официальный интернет-портал правовой информации http://www.pravo.gov.ru, 13 июня 2019 г.).</w:t>
      </w:r>
      <w:proofErr w:type="gramEnd"/>
    </w:p>
    <w:p w:rsidR="008A528C" w:rsidRDefault="008A528C">
      <w:pPr>
        <w:pStyle w:val="ConsPlusNormal"/>
        <w:ind w:firstLine="540"/>
        <w:jc w:val="both"/>
      </w:pPr>
    </w:p>
    <w:p w:rsidR="008A528C" w:rsidRDefault="008A528C">
      <w:pPr>
        <w:pStyle w:val="ConsPlusNormal"/>
        <w:ind w:firstLine="540"/>
        <w:jc w:val="both"/>
      </w:pPr>
      <w:proofErr w:type="gramStart"/>
      <w:r>
        <w:t xml:space="preserve">б) </w:t>
      </w:r>
      <w:hyperlink r:id="rId17" w:history="1">
        <w:r>
          <w:rPr>
            <w:color w:val="0000FF"/>
          </w:rPr>
          <w:t>подпунктом 8.1</w:t>
        </w:r>
      </w:hyperlink>
      <w:r>
        <w:t xml:space="preserve"> 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учреждений, утвержденной приказом Министерства финансов Российской Федерации от 25 марта 2011 г. N 33н (зарегистрирован в Министерстве юстиции Российской Федерации 22 апреля 2011 г., регистрационный номер 20558; Российская газета, 2011, 4 мая) (далее - Инструкция N 33н) &lt;2&gt;;</w:t>
      </w:r>
      <w:proofErr w:type="gramEnd"/>
    </w:p>
    <w:p w:rsidR="008A528C" w:rsidRDefault="008A528C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t>&lt;2</w:t>
      </w:r>
      <w:proofErr w:type="gramStart"/>
      <w:r>
        <w:t>&gt; С</w:t>
      </w:r>
      <w:proofErr w:type="gramEnd"/>
      <w:r>
        <w:t xml:space="preserve"> изменениями, внесенными приказами Министерства финансов Российской Федерации от 26 октября 2012 г. N 139н (зарегистрирован в Министерстве юстиции Российской Федерации 19 декабря 2012 г., регистрационный номер 26195; Российская газета, 2012, 26 декабря), от 29 декабря 2014 г. N 172н (зарегистрировано в Министерстве юстиции Российской Федерации 4 февраля 2015 г., регистрационный номер 35854; Официальный интернет-портал правовой информации http://www.pravo.gov.ru, 5 февраля 2015 г.), от 20 марта 2015 г. N 43н (зарегистрирован в Министерстве юстиции Российской Федерации 1 апреля 2015 г., регистрационный номер 36668; Официальный интернет-портал правовой информации http://www.pravo.gov.ru, 3 апреля 2015 г.), от 17 декабря 2015 г. N 199н (зарегистрирован в Министерстве юстиции Российской Федерации 28 января 2016 г., регистрационный номер 40889; Официальный интернет-портал правовой информации http://www.pravo.gov.ru, 3 февраля 2016 г.), от 16 ноября 2016 г. N 209н (зарегистрирован в Министерстве юстиции Российской Федерации 15 декабря 2016 г., регистрационный номер 44741; Официальный интернет-портал правовой информации http://www.pravo.gov.ru 19 декабря 2016 г.), от 14 ноября 2017 г. N 189н (зарегистрирован в Министерстве юстиции Российской Федерации 12 декабря 2017 г., регистрационный номер 49217; Официальный интернет-портал правовой информации http://www.pravo.gov.ru, 13 декабря 2017 г.), от 7 марта 2018 г. N 42н (зарегистрирован в Министерстве юстиции Российской Федерации 28 марта 2018 г., регистрационный номер 50553; Официальный интернет-портал правовой информации http://www.pravo.gov.ru, 30 марта 2018 г.), от 30 ноября 2018 г. N 243н (зарегистрирован в Министерстве юстиции Российской Федерации 25 декабря 2018 г., регистрационный номер 53168; Официальный интернет-портал правовой информации http://www.pravo.gov.ru, 26 декабря 2018 г.), от 28.02.2019 N 32н (зарегистрирован в Министерстве юстиции Российской Федерации 27 марта 2019 г., регистрационный номер 54184; Официальный интернет-портал правовой информации http://www.pravo.gov.ru, 28 марта 2019 г.), от 16.05.2019 N 73н (зарегистрирован в Министерстве юстиции Российской Федерации 11 апреля 2019 г., регистрационный номер 54909; Официальный интернет-портал правовой информации http://www.pravo.gov.ru, 11 апреля 2019 г.</w:t>
      </w:r>
    </w:p>
    <w:p w:rsidR="008A528C" w:rsidRDefault="008A528C">
      <w:pPr>
        <w:pStyle w:val="ConsPlusNormal"/>
        <w:ind w:firstLine="540"/>
        <w:jc w:val="both"/>
      </w:pPr>
    </w:p>
    <w:p w:rsidR="008A528C" w:rsidRDefault="008A528C">
      <w:pPr>
        <w:pStyle w:val="ConsPlusNormal"/>
        <w:ind w:firstLine="540"/>
        <w:jc w:val="both"/>
      </w:pPr>
      <w:r>
        <w:t xml:space="preserve">в) приказом Федерального казначейства о сроках представления главными </w:t>
      </w:r>
      <w:r>
        <w:lastRenderedPageBreak/>
        <w:t>администраторами средств федерального бюджета в Межрегиональное операционное управление Федерального казначейства (далее - МОУ ФК) сводной месячной, квартальной и годовой бюджетной Отчетности, сводной квартальной и годовой бухгалтерской Отчетности федеральных бюджетных и автономных учреждений в очередном финансовом году.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t>2.2.1. Соответствие состава субъектов мониторинга Справочнику осуществляется путем сверки справочника с перечнем субъектов мониторинга, представивших информацию в Подсистему на день, следующий за днем представления Отчетности, установленным соответствующим главным администратором средств федерального бюджета для формирования и представления субъектами мониторинга Отчетности в Подсистему.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t>В случае выявления фактов несоответствия устанавливается причина несоответствия или непредставления Отчетности в Подсистему.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t>В случае выявления фактов несоответствий в реквизитах справочников Подсистемы, препятствующих представлению субъектами мониторинга Отчетности в Подсистему, выявленные несоответствия направляются в виде произвольного документа на адрес электронной почты Управления централизованной бухгалтерии Федерального казначейства.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t>Актуализация данных Справочников, включающая ввод, изменение, перевод данных в архив (далее - актуализация) осуществляется Управлением централизованной бухгалтерии Федерального казначейства, на основании информации, полученной от главных администраторов средств федерального бюджета, субъектов отчетности, УФК.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t>УФК при обращении субъектов отчетности о необходимости внесения изменений в Справочники или выявлении фактов несоответствий в реквизитах Справочников, направляют соответствующую информацию в виде произвольного документа на адрес электронной почты Управления централизованной бухгалтерии Федерального казначейства.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t>2.2.2. Соответствие состава представленной Отчетности в Подсистему нормативным правовым актам и методическим документам Министерства финансов Российской Федерации определяется по состоянию на день, следующий за днем, установленным для формирования и представления субъектами мониторинга Отчетности в Подсистему.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t xml:space="preserve">В случае выявления фактов несоответствия устанавливается причина непредставления Отчетности в Подсистему с учетом положений </w:t>
      </w:r>
      <w:hyperlink r:id="rId18" w:history="1">
        <w:r>
          <w:rPr>
            <w:color w:val="0000FF"/>
          </w:rPr>
          <w:t>пункта 8</w:t>
        </w:r>
      </w:hyperlink>
      <w:r>
        <w:t xml:space="preserve"> Инструкции N 191н, </w:t>
      </w:r>
      <w:hyperlink r:id="rId19" w:history="1">
        <w:r>
          <w:rPr>
            <w:color w:val="0000FF"/>
          </w:rPr>
          <w:t>пункта 10</w:t>
        </w:r>
      </w:hyperlink>
      <w:r>
        <w:t xml:space="preserve"> Инструкции N 33н.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t>2.2.3. Соблюдение субъектами мониторинга сроков представления Отчетности в Подсистему определяется по состоянию на день, следующий за днем, установленным для формирования и представления субъектами мониторинга Отчетности в Подсистему.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t>При этом фактическим сроком представления Отчетности считается наиболее поздняя дата формирования в Подсистеме субъектом мониторинга статуса "Представлен" и (или) "Показатели отсутствуют" для любой отчетной формы из состава представляемой Отчетности.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t>2.3. В ходе сбора и обобщения информации о показателях представленной Отчетности обеспечивается сбор и анализ информации о фактах: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t xml:space="preserve">выявления показателей, значения которых существенно изменились в отчетном периоде, и </w:t>
      </w:r>
      <w:proofErr w:type="gramStart"/>
      <w:r>
        <w:t>причины</w:t>
      </w:r>
      <w:proofErr w:type="gramEnd"/>
      <w:r>
        <w:t xml:space="preserve"> изменения которых не приведены в Пояснительной записке (</w:t>
      </w:r>
      <w:hyperlink r:id="rId20" w:history="1">
        <w:r>
          <w:rPr>
            <w:color w:val="0000FF"/>
          </w:rPr>
          <w:t>ф. 0503160</w:t>
        </w:r>
      </w:hyperlink>
      <w:r>
        <w:t xml:space="preserve">, </w:t>
      </w:r>
      <w:hyperlink r:id="rId21" w:history="1">
        <w:r>
          <w:rPr>
            <w:color w:val="0000FF"/>
          </w:rPr>
          <w:t>ф. 0503760</w:t>
        </w:r>
      </w:hyperlink>
      <w:r>
        <w:t>);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t>наличия арифметических и логических ошибок в показателях Отчетности;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t>несоответствия показателей Отчетности данным классификаторов и справочников, используемых в Подсистеме;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lastRenderedPageBreak/>
        <w:t>невыполнения субъектом мониторинга обязательных требований по раскрытию информации в составе пояснительной записки к Отчетности;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t xml:space="preserve">несоответствия показателей Отчетности субъектов мониторинга показателям утвержденных и (или) доведенных бюджетных данных и кассового исполнения федерального бюджета показателям, отраженным на лицевых счетах субъектов мониторинга, открытых в </w:t>
      </w:r>
      <w:proofErr w:type="gramStart"/>
      <w:r>
        <w:t>соответствующем</w:t>
      </w:r>
      <w:proofErr w:type="gramEnd"/>
      <w:r>
        <w:t xml:space="preserve"> УФК;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t xml:space="preserve">несоответствия показателей остатков денежных средств федеральных бюджетных и автономных учреждений, отраженных в соответствующей Отчетности, показателям, отраженным на лицевых счетах субъектов мониторинга, открытых в </w:t>
      </w:r>
      <w:proofErr w:type="gramStart"/>
      <w:r>
        <w:t>соответствующем</w:t>
      </w:r>
      <w:proofErr w:type="gramEnd"/>
      <w:r>
        <w:t xml:space="preserve"> УФК;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t xml:space="preserve">несоответствия показателей остатков денежных средств получателей бюджетных средств, полученных во временное распоряжение, отраженных в соответствующей Отчетности, показателям, отраженным на лицевых счетах субъектов мониторинга, открытых в </w:t>
      </w:r>
      <w:proofErr w:type="gramStart"/>
      <w:r>
        <w:t>соответствующем</w:t>
      </w:r>
      <w:proofErr w:type="gramEnd"/>
      <w:r>
        <w:t xml:space="preserve"> УФК;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t xml:space="preserve">2.4.1. Наличие арифметических и логических ошибок в показателях Отчетности, представленной субъектами мониторинга в Подсистему, определяется на основании данных протоколов </w:t>
      </w:r>
      <w:proofErr w:type="spellStart"/>
      <w:r>
        <w:t>внутридокументного</w:t>
      </w:r>
      <w:proofErr w:type="spellEnd"/>
      <w:r>
        <w:t xml:space="preserve">, </w:t>
      </w:r>
      <w:proofErr w:type="spellStart"/>
      <w:r>
        <w:t>междокументного</w:t>
      </w:r>
      <w:proofErr w:type="spellEnd"/>
      <w:r>
        <w:t xml:space="preserve"> и внешнего контроля, сформированных Подсистемой в автоматизированном режиме, а также (при необходимости) посредством визуальной проверки и анализа показателей представленной Отчетности.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t>Перечень арифметических и логических ошибок сопоставляется с информацией, раскрываемой в пояснительной записке к Отчетности.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t xml:space="preserve">2.4.2. Несоответствие показателей Отчетности данным классификаторов и справочников, используемых в Подсистеме, определяется на основании данных протоколов форматного, </w:t>
      </w:r>
      <w:proofErr w:type="spellStart"/>
      <w:r>
        <w:t>внутридокументного</w:t>
      </w:r>
      <w:proofErr w:type="spellEnd"/>
      <w:r>
        <w:t xml:space="preserve"> контроля, сформированных Подсистемой в автоматизированном режиме.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t>2.4.3. Невыполнение субъектом мониторинга обязательных требований по раскрытию информации в составе пояснительной записки к Отчетности определяется путем анализа содержания пояснительной записки к Отчетности и сопоставления ее содержания с обязательными требованиями по раскрытию информации, установленными нормативными и методическим документами Министерства финансов Российской Федерации и Федерального казначейства.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t xml:space="preserve">2.4.4. Несоответствие показателей Отчетности субъектов мониторинга показателям утвержденных и (или) доведенных бюджетных данных и кассового исполнения федерального бюджета, отраженным на лицевых счетах субъектов мониторинга, определяется на основании </w:t>
      </w:r>
      <w:proofErr w:type="gramStart"/>
      <w:r>
        <w:t>анализа данных протоколов внешнего контроля соответствующих показателей Отчетности субъектов мониторинга</w:t>
      </w:r>
      <w:proofErr w:type="gramEnd"/>
      <w:r>
        <w:t xml:space="preserve"> и показателей бюджетной отчетности УФК, сформированных в Подсистеме в автоматизированном режиме.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t>2.5. По результатам анализа полноты и своевременности представления Отчетности и сбора, обобщения и анализа показателей представленной Отчетности формируются Сведения с типом "по УФК".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t>Формирование и представление Сведений осуществляется в Подсистеме.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t>2.5.1. Показатели Сведений формируются в следующем порядке.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t>В разделе 1 Сведений подлежит раскрытию общая информация о результатах мониторинга УФК Отчетности, представляемой в Подсистему субъектами мониторинга.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t>По разделу 1 Сведений указывается: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lastRenderedPageBreak/>
        <w:t>в графе 1 - код УФК;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t>в графах 2, 3 - код и наименование главного администратора средств федерального бюджета по бюджетной классификации, подведомственным которому является субъект мониторинга;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t>в графах 4, 5 - код и наименование субъекта мониторинга в соответствии с Реестром;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t>в графе 6 - соответствующий код типа субъекта мониторинга: 1 - получатель бюджетных средств, 2 - распорядитель бюджетных средств, 3 - администратор доходов бюджета, 4 - администратор источников финансирования дефицита бюджета, 5 - федеральное бюджетное или автономное учреждение, 6 - распорядитель бюджетных средств (автономное учреждение, бюджетное учреждение);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t>в графе 7 - в случае обеспечения субъектом мониторинга полноты представления Отчетности в Подсистему в соответствии с нормативными правовыми актами и методическими документами Минфина России указывается значение 1, в случае несоответствия указывается значение 2;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t>в графах 8, 9 - установленный и фактический сроки представления Отчетности в Подсистему субъектом мониторинга (в формате ДД.ММ</w:t>
      </w:r>
      <w:proofErr w:type="gramStart"/>
      <w:r>
        <w:t>.Г</w:t>
      </w:r>
      <w:proofErr w:type="gramEnd"/>
      <w:r>
        <w:t>ГГГ) соответственно.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t>Датой фактического представления отчетности является дата по последней представленной форме Отчетности.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t>При этом</w:t>
      </w:r>
      <w:proofErr w:type="gramStart"/>
      <w:r>
        <w:t>,</w:t>
      </w:r>
      <w:proofErr w:type="gramEnd"/>
      <w:r>
        <w:t xml:space="preserve"> если первоначальный комплект отчетности был представлен в установленный срок, но в последующем осуществлялась корректировка и повторное представление форм Отчетности, в сформированных автоматически Сведениях дата фактического представления указывается по последней представленной форме Отчетности и в графе 22 "Примечание" указывается информация о своевременном представлении Отчетности в установленный срок и повторном представлении форм Отчетности в связи с корректировкой показателей.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t>В графе 10 Сведений указывается код формы бюджетной (бухгалтерской) отчетности, в которой обнаружена ошибка.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t>В разделе 2 Сведений подлежит раскрытию информация об арифметических и логических ошибках в показателях Отчетности субъектов мониторинга, требующих дополнительного контроля и анализа со стороны главного администратора средств федерального бюджета.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t>По разделу 2 Сведений указывается: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t>в графе 11 - в случае отсутствия арифметических и логических ошибок в показателях Отчетности, представленной субъектами мониторинга в Подсистему, указывается значение 1, в случае наличия указывается значение 2;</w:t>
      </w:r>
    </w:p>
    <w:p w:rsidR="008A528C" w:rsidRDefault="008A528C">
      <w:pPr>
        <w:pStyle w:val="ConsPlusNormal"/>
        <w:spacing w:before="220"/>
        <w:ind w:firstLine="540"/>
        <w:jc w:val="both"/>
      </w:pPr>
      <w:proofErr w:type="gramStart"/>
      <w:r>
        <w:t>в графе 12 - в случае наличия расхождения между показателями Отчетности, отраженного либо в Протоколе контроля, либо обнаруженного в ходе сбора, обобщения и анализа Отчетности и требующего пояснения - 1, в случае наличия недопустимого расхождения между показателями Отчетности, отраженного либо в Протоколе контроля, либо обнаруженного в ходе сбора, обобщения и анализа Отчетности - 2, в случае нарушения требований по заполнению форм Отчетности - 3</w:t>
      </w:r>
      <w:proofErr w:type="gramEnd"/>
      <w:r>
        <w:t>; в случае наличия иных ошибок и расхождений - 4;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t xml:space="preserve">в графе 13 - код ошибки, отраженный в Протоколе контроля, тип проводимого контроля (форматного, </w:t>
      </w:r>
      <w:proofErr w:type="spellStart"/>
      <w:r>
        <w:t>внутридокументного</w:t>
      </w:r>
      <w:proofErr w:type="spellEnd"/>
      <w:r>
        <w:t xml:space="preserve">, </w:t>
      </w:r>
      <w:proofErr w:type="spellStart"/>
      <w:r>
        <w:t>междокументного</w:t>
      </w:r>
      <w:proofErr w:type="spellEnd"/>
      <w:r>
        <w:t xml:space="preserve"> и внешнего контроля);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t xml:space="preserve">в графе 14 - обосновывающий необходимость дополнительного контроля и анализа </w:t>
      </w:r>
      <w:r>
        <w:lastRenderedPageBreak/>
        <w:t>комментарий УФК.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t>В разделе 3 Сведений подлежит раскрытию информация о выявленных несоответствиях показателей Отчетности и данных классификаторов и справочников, используемых в Подсистеме.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t>По разделу 3 Сведений указывается: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t>в графе 15 - в случае соответствия показателей Отчетности данным классификаторов и справочников, используемых в Подсистеме, указывается значение 1, в случае несоответствия указывается 2;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t>в графе 16 - наименование классификатора или справочника Подсистемы, в наборе записей которого отсутствует показатель, указанный в графе 17;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t>в графе 17 - код показателя, отсутствующего в классификаторе или справочнике, указанном в графе 16;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t>в графе 18 - комментарий УФК, содержащий обоснование корректности (некорректности) применения субъектом мониторинга рассматриваемого показателя.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t>В разделе 4 Сведений подлежит раскрытию информация о невыполнении субъектом мониторинга обязательных требований по раскрытию информации в составе пояснительной записки к Отчетности.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t>По разделу 4 указывается: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t>в графе 19 - в случае выполнения субъектом мониторинга обязательных требований по раскрытию информации в составе пояснительной записки к Отчетности указывается значение 1, в случае несоответствия указывается значение 2;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t>в графе 20 - ссылка на нормативный документ и (или) методический документ Минфина России и Федерального казначейства (номер, дата, пункт и т.п.), устанавливающие обязательные требования по раскрытию информации в составе пояснительной записки к Отчетности;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t>в графе 21 - комментарий УФК, содержащий обоснование выводов о невыполнении субъектом мониторинга обязательных требований по раскрытию информации в составе пояснительной записки к Отчетности;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t>в графе 22 - указывается информация (при необходимости), поясняющая значение отдельных показателей Сведений (или их отсутствие).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t>Набор показателей граф 2, 4, 6 образует уникальный идентификатор записи в Сведениях.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t>В случае своевременного представления субъектом мониторинга полного комплекта отчетности, отсутствия ошибок и корректировок в представленной отчетности, в Сведениях по субъекту мониторинга формируется одна строка с заполнением в графах 1 - 9 соответствующей информации, при этом графы 10 - 22 не заполняются.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t>2.5.2. Сведения подписываются заместителем руководителя УФК, курирующим деятельность Отдела централизованной бухгалтерии УФК.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t>2.5.3. УФК осуществляют представление Сведений в соответствии со сроком, установленным Федеральным казначейством для представления Сведений.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t>2.5.4. УФК осуществляют представление Сведений в следующем порядке:</w:t>
      </w:r>
    </w:p>
    <w:p w:rsidR="008A528C" w:rsidRDefault="008A528C">
      <w:pPr>
        <w:pStyle w:val="ConsPlusNormal"/>
        <w:spacing w:before="220"/>
        <w:ind w:firstLine="540"/>
        <w:jc w:val="both"/>
      </w:pPr>
      <w:proofErr w:type="gramStart"/>
      <w:r>
        <w:t xml:space="preserve">УФК по Белгородской области, УФК по Брянской области, УФК по Владимирской области, </w:t>
      </w:r>
      <w:r>
        <w:lastRenderedPageBreak/>
        <w:t>УФК по Воронежской области, УФК по Курской области - в УФК по Белгородской области;</w:t>
      </w:r>
      <w:proofErr w:type="gramEnd"/>
    </w:p>
    <w:p w:rsidR="008A528C" w:rsidRDefault="008A528C">
      <w:pPr>
        <w:pStyle w:val="ConsPlusNormal"/>
        <w:spacing w:before="220"/>
        <w:ind w:firstLine="540"/>
        <w:jc w:val="both"/>
      </w:pPr>
      <w:r>
        <w:t>УФК по Ивановской области, УФК по Тверской области, УФК по Калужской области, УФК по Костромской области, УФК по Тамбовской области, УФК по Липецкой области - в УФК по Липецкой области;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t>УФК по Смоленской области, УФК по Московской области, УФК по Орловской области, УФК по Рязанской области - в УФК по Смоленской области;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t>УФК по Тульской области, УФК по Ярославской области, УФК по г. Москве - в УФК по Тульской области;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t>УФК по Республике Карелия, УФК по Республике Коми, УФК по Архангельской области и Ненецкому автономному округу, УФК по Вологодской области, УФК по Мурманской области - в УФК по Архангельской области и Ненецкому автономному округу;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t>УФК по Калининградской области, УФК по Ленинградской области, УФК по Новгородской области, УФК по Псковской области, УФК по г. Санкт-Петербургу - в УФК по г. Санкт-Петербургу;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t>УФК по Республике Адыгея, УФК по Краснодарскому краю, УФК по Астраханской области - УФК по Краснодарскому краю;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t>УФК по Волгоградской области, УФК по Ростовской области, УФК по Республике Калмыкия - в УФК по Ростовской области;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t>УФК по Республике Дагестан, УФК по Кабардино-Балкарской Республике, УФК по Республике Северная Осетия - Алания, УФК по Республике Ингушетия, УФК по Ставропольскому краю, УФК по Карачаево-Черкесской Республике, УФК по Чеченской Республике - в УФК по Ставропольскому краю;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t>УФК по Чувашской Республике, УФК по Республике Марий Эл, УФК по Республике Мордовия, УФК по Республике Татарстан - в УФК по Чувашской Республике;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t>УФК по Нижегородской области, УФК по Кировской области, УФК по Саратовской области - в УФК по Нижегородской области;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t>УФК по Самарской области, УФК по Оренбургской области, УФК по Удмуртской Республике, УФК по Ульяновской области - УФК по Оренбургской области;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t>УФК по Пензенской области, УФК по Пермскому краю, УФК по Республике Башкортостан - в УФК по Пермскому краю;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t>УФК по Курганской области, УФК по Тюменской области, УФК по Челябинской области - в УФК по Курганской области;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t>УФК по Свердловской области, УФК по Ханты-Мансийскому автономному округу - Югре, УФК по Ямало-Ненецкому автономному округу - в УФК по Свердловской области;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t>УФК по Республике Бурятия, УФК по Республике Тыва, УФК по Красноярскому краю, УФК по Забайкальскому краю - в УФК по Красноярскому краю;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t>УФК по Кемеровской области, УФК по Иркутской области, УФК по Новосибирской области - в УФК по Кемеровской области;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t>УФК по Омской области, УФК по Томской области, УФК по Республике Алтай, УФК по Республике Хакасия, УФК по Алтайскому краю - в УФК по Омской области;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lastRenderedPageBreak/>
        <w:t>УФК по Республике Саха (Якутия), УФК по Магаданской области, УФК по Еврейской автономной области, УФК по Чукотскому автономному округу, УФК по Камчатскому краю, УФК по Сахалинской области - в УФК по Республике Саха (Якутия);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t>УФК по Хабаровскому краю, УФК по Амурской области, УФК по Приморскому краю - в УФК по Приморскому краю;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t>УФК по г. Севастополю, УФК по Республике Крым - в УФК по Республике Крым.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t xml:space="preserve">2.6. </w:t>
      </w:r>
      <w:proofErr w:type="gramStart"/>
      <w:r>
        <w:t>Отделы централизованной бухгалтерии и Отделы бюджетного учета и отчетности по операциям бюджетов управлений Федерального казначейства по Белгородской области, Липецкой области, Смоленской области, Тульской области, Архангельской области и Ненецкому автономному округу, г. Санкт-Петербургу, Краснодарскому краю, Ростовской области, Ставропольскому краю, Чувашской Республике, Нижегородской области, Оренбургской области, Пермскому краю, Курганской области, Свердловской области, Красноярскому краю, Кемеровской области, Омской области, Республике Саха (Якутия), Приморскому</w:t>
      </w:r>
      <w:proofErr w:type="gramEnd"/>
      <w:r>
        <w:t xml:space="preserve"> краю, Республике Крым (далее - УФК - Центры компетенции) соответственно осуществляют анализ и обобщение представленных Сведений в разрезе главных администраторов средств федерального бюджета путем: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t>оценки допустимости выявленных УФК арифметических и логических ошибок в показателях Отчетности субъектов мониторинга;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t>оценки фактов невыполнения субъектами мониторинга обязательных требований по раскрытию информации в составе пояснительной записки к Отчетности;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t xml:space="preserve">оценки </w:t>
      </w:r>
      <w:proofErr w:type="gramStart"/>
      <w:r>
        <w:t>допустимости отклонений показателей Отчетности субъектов мониторинга</w:t>
      </w:r>
      <w:proofErr w:type="gramEnd"/>
      <w:r>
        <w:t xml:space="preserve"> от показателей кассового исполнения федерального бюджета, а также показателей утвержденных и (или) доведенных бюджетных данных отраженным на лицевых счетах субъектов мониторинга, открытых в соответствующем УФК.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t>По результатам анализа и обобщения представленных Сведений УФК - Центр компетенции формирует Сведения с типом "сводные" (далее - Сводные сведения).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t>Формирование и представление Сводных сведений осуществляется в Подсистеме.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t>Сформированные УФК - Центром компетенции, Сводные сведения подписываются заместителем руководителя УФК - Центр компетенции, курирующим деятельность Отдела централизованной бухгалтерии УФК.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t>Сводные сведения представляются в УФК по Краснодарскому краю в соответствии со сроком, установленным Федеральным казначейством для представления Сведений.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t>2.7. На основании Сводных сведений, представленных УФК - Центрами компетенции, УФК по Краснодарскому краю формирует Сведения с типом "консолидированные" (далее - Консолидированные сведения) отдельно по каждому главному администратору средств федерального бюджета.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t>Формирование и представление Сведений осуществляется в Подсистеме.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t>Сформированные УФК по Краснодарскому краю Консолидированные сведения подписываются заместителем руководителя УФК по Краснодарскому краю, курирующим деятельность Отдела централизованной бухгалтерии.</w:t>
      </w:r>
    </w:p>
    <w:p w:rsidR="008A528C" w:rsidRDefault="008A528C">
      <w:pPr>
        <w:pStyle w:val="ConsPlusNormal"/>
        <w:spacing w:before="220"/>
        <w:ind w:firstLine="540"/>
        <w:jc w:val="both"/>
      </w:pPr>
      <w:r>
        <w:t>Консолидированные сведения представляются УФК по Краснодарскому краю в соответствии со сроком, установленным Федеральным казначейством для представления Сведений.</w:t>
      </w:r>
    </w:p>
    <w:p w:rsidR="008A528C" w:rsidRDefault="008A528C">
      <w:pPr>
        <w:pStyle w:val="ConsPlusNormal"/>
        <w:jc w:val="both"/>
      </w:pPr>
    </w:p>
    <w:p w:rsidR="008A528C" w:rsidRDefault="008A528C">
      <w:pPr>
        <w:pStyle w:val="ConsPlusNormal"/>
        <w:jc w:val="both"/>
      </w:pPr>
    </w:p>
    <w:p w:rsidR="008A528C" w:rsidRDefault="008A528C">
      <w:pPr>
        <w:pStyle w:val="ConsPlusNormal"/>
        <w:jc w:val="both"/>
      </w:pPr>
    </w:p>
    <w:p w:rsidR="008A528C" w:rsidRDefault="008A528C">
      <w:pPr>
        <w:pStyle w:val="ConsPlusNormal"/>
        <w:jc w:val="both"/>
      </w:pPr>
    </w:p>
    <w:p w:rsidR="008A528C" w:rsidRDefault="008A528C">
      <w:pPr>
        <w:pStyle w:val="ConsPlusNormal"/>
        <w:jc w:val="both"/>
      </w:pPr>
    </w:p>
    <w:p w:rsidR="008A528C" w:rsidRDefault="008A528C">
      <w:pPr>
        <w:pStyle w:val="ConsPlusNormal"/>
        <w:jc w:val="right"/>
        <w:outlineLvl w:val="1"/>
      </w:pPr>
      <w:r>
        <w:t>Приложение</w:t>
      </w:r>
    </w:p>
    <w:p w:rsidR="008A528C" w:rsidRDefault="008A528C">
      <w:pPr>
        <w:pStyle w:val="ConsPlusNormal"/>
        <w:jc w:val="right"/>
      </w:pPr>
      <w:r>
        <w:t>к Порядку мониторинга</w:t>
      </w:r>
    </w:p>
    <w:p w:rsidR="008A528C" w:rsidRDefault="008A528C">
      <w:pPr>
        <w:pStyle w:val="ConsPlusNormal"/>
        <w:jc w:val="right"/>
      </w:pPr>
      <w:r>
        <w:t>в Федеральном казначействе</w:t>
      </w:r>
    </w:p>
    <w:p w:rsidR="008A528C" w:rsidRDefault="008A528C">
      <w:pPr>
        <w:pStyle w:val="ConsPlusNormal"/>
        <w:jc w:val="right"/>
      </w:pPr>
      <w:r>
        <w:t>информации, представляемой</w:t>
      </w:r>
    </w:p>
    <w:p w:rsidR="008A528C" w:rsidRDefault="008A528C">
      <w:pPr>
        <w:pStyle w:val="ConsPlusNormal"/>
        <w:jc w:val="right"/>
      </w:pPr>
      <w:r>
        <w:t>в подсистему "Учет и отчетность"</w:t>
      </w:r>
    </w:p>
    <w:p w:rsidR="008A528C" w:rsidRDefault="008A528C">
      <w:pPr>
        <w:pStyle w:val="ConsPlusNormal"/>
        <w:jc w:val="right"/>
      </w:pPr>
      <w:r>
        <w:t>государственной интегрированной</w:t>
      </w:r>
    </w:p>
    <w:p w:rsidR="008A528C" w:rsidRDefault="008A528C">
      <w:pPr>
        <w:pStyle w:val="ConsPlusNormal"/>
        <w:jc w:val="right"/>
      </w:pPr>
      <w:r>
        <w:t>информационной системы управления</w:t>
      </w:r>
    </w:p>
    <w:p w:rsidR="008A528C" w:rsidRDefault="008A528C">
      <w:pPr>
        <w:pStyle w:val="ConsPlusNormal"/>
        <w:jc w:val="right"/>
      </w:pPr>
      <w:r>
        <w:t>общественными финансами</w:t>
      </w:r>
    </w:p>
    <w:p w:rsidR="008A528C" w:rsidRDefault="008A528C">
      <w:pPr>
        <w:pStyle w:val="ConsPlusNormal"/>
        <w:jc w:val="right"/>
      </w:pPr>
      <w:r>
        <w:t>"Электронный бюджет"</w:t>
      </w:r>
    </w:p>
    <w:p w:rsidR="008A528C" w:rsidRDefault="008A528C">
      <w:pPr>
        <w:pStyle w:val="ConsPlusNormal"/>
        <w:jc w:val="center"/>
      </w:pPr>
    </w:p>
    <w:p w:rsidR="008A528C" w:rsidRDefault="008A528C">
      <w:pPr>
        <w:pStyle w:val="ConsPlusNonformat"/>
        <w:jc w:val="both"/>
      </w:pPr>
      <w:r>
        <w:t xml:space="preserve">                                 Сведения</w:t>
      </w:r>
    </w:p>
    <w:p w:rsidR="008A528C" w:rsidRDefault="008A528C">
      <w:pPr>
        <w:pStyle w:val="ConsPlusNonformat"/>
        <w:jc w:val="both"/>
      </w:pPr>
      <w:r>
        <w:t xml:space="preserve">           о результатах мониторинга информации, представляемой</w:t>
      </w:r>
    </w:p>
    <w:p w:rsidR="008A528C" w:rsidRDefault="008A528C">
      <w:pPr>
        <w:pStyle w:val="ConsPlusNonformat"/>
        <w:jc w:val="both"/>
      </w:pPr>
      <w:r>
        <w:t xml:space="preserve">         в подсистему учета и отчетности ГИИС "Электронный бюджет"</w:t>
      </w:r>
    </w:p>
    <w:p w:rsidR="008A528C" w:rsidRDefault="008A528C">
      <w:pPr>
        <w:pStyle w:val="ConsPlusNonformat"/>
        <w:jc w:val="both"/>
      </w:pPr>
      <w:r>
        <w:t xml:space="preserve">                      на ___________________________</w:t>
      </w:r>
    </w:p>
    <w:p w:rsidR="008A528C" w:rsidRDefault="008A528C">
      <w:pPr>
        <w:pStyle w:val="ConsPlusNonformat"/>
        <w:jc w:val="both"/>
      </w:pPr>
    </w:p>
    <w:p w:rsidR="008A528C" w:rsidRDefault="008A528C">
      <w:pPr>
        <w:pStyle w:val="ConsPlusNonformat"/>
        <w:jc w:val="both"/>
      </w:pPr>
      <w:r>
        <w:t>Периодичность ____________________________</w:t>
      </w:r>
    </w:p>
    <w:p w:rsidR="008A528C" w:rsidRDefault="008A528C">
      <w:pPr>
        <w:pStyle w:val="ConsPlusNonformat"/>
        <w:jc w:val="both"/>
      </w:pPr>
      <w:r>
        <w:t xml:space="preserve">                 (квартальная, годовая)</w:t>
      </w:r>
    </w:p>
    <w:p w:rsidR="008A528C" w:rsidRDefault="008A528C">
      <w:pPr>
        <w:pStyle w:val="ConsPlusNonformat"/>
        <w:jc w:val="both"/>
      </w:pPr>
    </w:p>
    <w:p w:rsidR="008A528C" w:rsidRDefault="008A528C">
      <w:pPr>
        <w:pStyle w:val="ConsPlusNonformat"/>
        <w:jc w:val="both"/>
      </w:pPr>
      <w:r>
        <w:t>Тип сведений __________________________________________</w:t>
      </w:r>
    </w:p>
    <w:p w:rsidR="008A528C" w:rsidRDefault="008A528C">
      <w:pPr>
        <w:pStyle w:val="ConsPlusNonformat"/>
        <w:jc w:val="both"/>
      </w:pPr>
      <w:r>
        <w:t xml:space="preserve">                (по УФК, сводные, консолидированные)</w:t>
      </w:r>
    </w:p>
    <w:p w:rsidR="008A528C" w:rsidRDefault="008A528C">
      <w:pPr>
        <w:pStyle w:val="ConsPlusNonformat"/>
        <w:jc w:val="both"/>
      </w:pPr>
    </w:p>
    <w:p w:rsidR="008A528C" w:rsidRDefault="008A528C">
      <w:pPr>
        <w:pStyle w:val="ConsPlusNonformat"/>
        <w:jc w:val="both"/>
      </w:pPr>
      <w:r>
        <w:t>Наименование органа</w:t>
      </w:r>
    </w:p>
    <w:p w:rsidR="008A528C" w:rsidRDefault="008A528C">
      <w:pPr>
        <w:pStyle w:val="ConsPlusNonformat"/>
        <w:jc w:val="both"/>
      </w:pPr>
      <w:r>
        <w:t>Федерального казначейства _________________________________________________</w:t>
      </w:r>
    </w:p>
    <w:p w:rsidR="008A528C" w:rsidRDefault="008A528C">
      <w:pPr>
        <w:pStyle w:val="ConsPlusNormal"/>
        <w:ind w:firstLine="540"/>
        <w:jc w:val="both"/>
      </w:pPr>
    </w:p>
    <w:p w:rsidR="008A528C" w:rsidRDefault="008A528C">
      <w:pPr>
        <w:sectPr w:rsidR="008A528C" w:rsidSect="00E0007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8"/>
        <w:gridCol w:w="510"/>
        <w:gridCol w:w="628"/>
        <w:gridCol w:w="567"/>
        <w:gridCol w:w="628"/>
        <w:gridCol w:w="689"/>
        <w:gridCol w:w="680"/>
        <w:gridCol w:w="794"/>
        <w:gridCol w:w="709"/>
        <w:gridCol w:w="664"/>
        <w:gridCol w:w="699"/>
        <w:gridCol w:w="620"/>
        <w:gridCol w:w="907"/>
        <w:gridCol w:w="640"/>
        <w:gridCol w:w="689"/>
        <w:gridCol w:w="704"/>
        <w:gridCol w:w="694"/>
        <w:gridCol w:w="640"/>
        <w:gridCol w:w="964"/>
        <w:gridCol w:w="794"/>
        <w:gridCol w:w="640"/>
        <w:gridCol w:w="624"/>
      </w:tblGrid>
      <w:tr w:rsidR="008A528C">
        <w:tc>
          <w:tcPr>
            <w:tcW w:w="5893" w:type="dxa"/>
            <w:gridSpan w:val="9"/>
            <w:vAlign w:val="center"/>
          </w:tcPr>
          <w:p w:rsidR="008A528C" w:rsidRDefault="008A528C">
            <w:pPr>
              <w:pStyle w:val="ConsPlusNormal"/>
              <w:jc w:val="center"/>
            </w:pPr>
            <w:r>
              <w:lastRenderedPageBreak/>
              <w:t>1. Общие сведения</w:t>
            </w:r>
          </w:p>
        </w:tc>
        <w:tc>
          <w:tcPr>
            <w:tcW w:w="664" w:type="dxa"/>
            <w:vMerge w:val="restart"/>
            <w:vAlign w:val="center"/>
          </w:tcPr>
          <w:p w:rsidR="008A528C" w:rsidRDefault="008A528C">
            <w:pPr>
              <w:pStyle w:val="ConsPlusNormal"/>
              <w:jc w:val="center"/>
            </w:pPr>
            <w:r>
              <w:t>Код Формы</w:t>
            </w:r>
          </w:p>
        </w:tc>
        <w:tc>
          <w:tcPr>
            <w:tcW w:w="2866" w:type="dxa"/>
            <w:gridSpan w:val="4"/>
            <w:vAlign w:val="center"/>
          </w:tcPr>
          <w:p w:rsidR="008A528C" w:rsidRDefault="008A528C">
            <w:pPr>
              <w:pStyle w:val="ConsPlusNormal"/>
              <w:jc w:val="center"/>
            </w:pPr>
            <w:r>
              <w:t>2. Сведения об арифметических и логических ошибках, требующих дополнительного контроля</w:t>
            </w:r>
          </w:p>
        </w:tc>
        <w:tc>
          <w:tcPr>
            <w:tcW w:w="2727" w:type="dxa"/>
            <w:gridSpan w:val="4"/>
            <w:vAlign w:val="center"/>
          </w:tcPr>
          <w:p w:rsidR="008A528C" w:rsidRDefault="008A528C">
            <w:pPr>
              <w:pStyle w:val="ConsPlusNormal"/>
              <w:jc w:val="center"/>
            </w:pPr>
            <w:r>
              <w:t>3. Сведения о несоответствии показателей данным классификаторов и справочников</w:t>
            </w:r>
          </w:p>
        </w:tc>
        <w:tc>
          <w:tcPr>
            <w:tcW w:w="2398" w:type="dxa"/>
            <w:gridSpan w:val="3"/>
            <w:vAlign w:val="center"/>
          </w:tcPr>
          <w:p w:rsidR="008A528C" w:rsidRDefault="008A528C">
            <w:pPr>
              <w:pStyle w:val="ConsPlusNormal"/>
              <w:jc w:val="center"/>
            </w:pPr>
            <w:r>
              <w:t>4. Сведения о невыполнении обязательных требований по раскрытию информации в пояснительной записке</w:t>
            </w:r>
          </w:p>
        </w:tc>
        <w:tc>
          <w:tcPr>
            <w:tcW w:w="624" w:type="dxa"/>
            <w:vMerge w:val="restart"/>
            <w:vAlign w:val="center"/>
          </w:tcPr>
          <w:p w:rsidR="008A528C" w:rsidRDefault="008A528C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8A528C">
        <w:tc>
          <w:tcPr>
            <w:tcW w:w="688" w:type="dxa"/>
            <w:vMerge w:val="restart"/>
            <w:vAlign w:val="center"/>
          </w:tcPr>
          <w:p w:rsidR="008A528C" w:rsidRDefault="008A528C">
            <w:pPr>
              <w:pStyle w:val="ConsPlusNormal"/>
              <w:jc w:val="center"/>
            </w:pPr>
            <w:r>
              <w:t>Код УФК</w:t>
            </w:r>
          </w:p>
        </w:tc>
        <w:tc>
          <w:tcPr>
            <w:tcW w:w="1138" w:type="dxa"/>
            <w:gridSpan w:val="2"/>
            <w:vAlign w:val="center"/>
          </w:tcPr>
          <w:p w:rsidR="008A528C" w:rsidRDefault="008A528C">
            <w:pPr>
              <w:pStyle w:val="ConsPlusNormal"/>
              <w:jc w:val="center"/>
            </w:pPr>
            <w:r>
              <w:t>Глава по БК</w:t>
            </w:r>
          </w:p>
        </w:tc>
        <w:tc>
          <w:tcPr>
            <w:tcW w:w="1884" w:type="dxa"/>
            <w:gridSpan w:val="3"/>
            <w:vAlign w:val="center"/>
          </w:tcPr>
          <w:p w:rsidR="008A528C" w:rsidRDefault="008A528C">
            <w:pPr>
              <w:pStyle w:val="ConsPlusNormal"/>
              <w:jc w:val="center"/>
            </w:pPr>
            <w:r>
              <w:t>УБП/НУБП</w:t>
            </w:r>
          </w:p>
        </w:tc>
        <w:tc>
          <w:tcPr>
            <w:tcW w:w="680" w:type="dxa"/>
            <w:vMerge w:val="restart"/>
            <w:vAlign w:val="center"/>
          </w:tcPr>
          <w:p w:rsidR="008A528C" w:rsidRDefault="008A528C">
            <w:pPr>
              <w:pStyle w:val="ConsPlusNormal"/>
              <w:jc w:val="center"/>
            </w:pPr>
            <w:r>
              <w:t>Состав информации</w:t>
            </w:r>
          </w:p>
        </w:tc>
        <w:tc>
          <w:tcPr>
            <w:tcW w:w="1503" w:type="dxa"/>
            <w:gridSpan w:val="2"/>
            <w:vAlign w:val="center"/>
          </w:tcPr>
          <w:p w:rsidR="008A528C" w:rsidRDefault="008A528C">
            <w:pPr>
              <w:pStyle w:val="ConsPlusNormal"/>
              <w:jc w:val="center"/>
            </w:pPr>
            <w:r>
              <w:t>Срок представления информации</w:t>
            </w:r>
          </w:p>
        </w:tc>
        <w:tc>
          <w:tcPr>
            <w:tcW w:w="664" w:type="dxa"/>
            <w:vMerge/>
          </w:tcPr>
          <w:p w:rsidR="008A528C" w:rsidRDefault="008A528C"/>
        </w:tc>
        <w:tc>
          <w:tcPr>
            <w:tcW w:w="699" w:type="dxa"/>
            <w:vMerge w:val="restart"/>
            <w:vAlign w:val="center"/>
          </w:tcPr>
          <w:p w:rsidR="008A528C" w:rsidRDefault="008A528C">
            <w:pPr>
              <w:pStyle w:val="ConsPlusNormal"/>
              <w:jc w:val="center"/>
            </w:pPr>
            <w:r>
              <w:t>Наличие арифметических и логических ошибок</w:t>
            </w:r>
          </w:p>
        </w:tc>
        <w:tc>
          <w:tcPr>
            <w:tcW w:w="620" w:type="dxa"/>
            <w:vMerge w:val="restart"/>
            <w:vAlign w:val="center"/>
          </w:tcPr>
          <w:p w:rsidR="008A528C" w:rsidRDefault="008A528C">
            <w:pPr>
              <w:pStyle w:val="ConsPlusNormal"/>
              <w:jc w:val="center"/>
            </w:pPr>
            <w:r>
              <w:t>Тип ошибки</w:t>
            </w:r>
          </w:p>
        </w:tc>
        <w:tc>
          <w:tcPr>
            <w:tcW w:w="907" w:type="dxa"/>
            <w:vMerge w:val="restart"/>
            <w:vAlign w:val="center"/>
          </w:tcPr>
          <w:p w:rsidR="008A528C" w:rsidRDefault="008A528C">
            <w:pPr>
              <w:pStyle w:val="ConsPlusNormal"/>
              <w:jc w:val="center"/>
            </w:pPr>
            <w:r>
              <w:t>Код ошибки/тип контроля</w:t>
            </w:r>
          </w:p>
        </w:tc>
        <w:tc>
          <w:tcPr>
            <w:tcW w:w="640" w:type="dxa"/>
            <w:vMerge w:val="restart"/>
            <w:vAlign w:val="center"/>
          </w:tcPr>
          <w:p w:rsidR="008A528C" w:rsidRDefault="008A528C">
            <w:pPr>
              <w:pStyle w:val="ConsPlusNormal"/>
              <w:jc w:val="center"/>
            </w:pPr>
            <w:r>
              <w:t>Комментарий</w:t>
            </w:r>
          </w:p>
        </w:tc>
        <w:tc>
          <w:tcPr>
            <w:tcW w:w="689" w:type="dxa"/>
            <w:vMerge w:val="restart"/>
            <w:vAlign w:val="center"/>
          </w:tcPr>
          <w:p w:rsidR="008A528C" w:rsidRDefault="008A528C">
            <w:pPr>
              <w:pStyle w:val="ConsPlusNormal"/>
              <w:jc w:val="center"/>
            </w:pPr>
            <w:r>
              <w:t>Соответствие показателей данным классификаторов и справочников</w:t>
            </w:r>
          </w:p>
        </w:tc>
        <w:tc>
          <w:tcPr>
            <w:tcW w:w="704" w:type="dxa"/>
            <w:vMerge w:val="restart"/>
            <w:vAlign w:val="center"/>
          </w:tcPr>
          <w:p w:rsidR="008A528C" w:rsidRDefault="008A528C">
            <w:pPr>
              <w:pStyle w:val="ConsPlusNormal"/>
              <w:jc w:val="center"/>
            </w:pPr>
            <w:r>
              <w:t>Наименование классификатора или справочника</w:t>
            </w:r>
          </w:p>
        </w:tc>
        <w:tc>
          <w:tcPr>
            <w:tcW w:w="694" w:type="dxa"/>
            <w:vMerge w:val="restart"/>
            <w:vAlign w:val="center"/>
          </w:tcPr>
          <w:p w:rsidR="008A528C" w:rsidRDefault="008A528C">
            <w:pPr>
              <w:pStyle w:val="ConsPlusNormal"/>
              <w:jc w:val="center"/>
            </w:pPr>
            <w:r>
              <w:t>Отсутствующий код показателя</w:t>
            </w:r>
          </w:p>
        </w:tc>
        <w:tc>
          <w:tcPr>
            <w:tcW w:w="640" w:type="dxa"/>
            <w:vMerge w:val="restart"/>
            <w:vAlign w:val="center"/>
          </w:tcPr>
          <w:p w:rsidR="008A528C" w:rsidRDefault="008A528C">
            <w:pPr>
              <w:pStyle w:val="ConsPlusNormal"/>
              <w:jc w:val="center"/>
            </w:pPr>
            <w:r>
              <w:t>Комментарий</w:t>
            </w:r>
          </w:p>
        </w:tc>
        <w:tc>
          <w:tcPr>
            <w:tcW w:w="964" w:type="dxa"/>
            <w:vMerge w:val="restart"/>
            <w:vAlign w:val="center"/>
          </w:tcPr>
          <w:p w:rsidR="008A528C" w:rsidRDefault="008A528C">
            <w:pPr>
              <w:pStyle w:val="ConsPlusNormal"/>
              <w:jc w:val="center"/>
            </w:pPr>
            <w:r>
              <w:t>Раскрытие информации в составе пояснительной записки</w:t>
            </w:r>
          </w:p>
        </w:tc>
        <w:tc>
          <w:tcPr>
            <w:tcW w:w="794" w:type="dxa"/>
            <w:vMerge w:val="restart"/>
            <w:vAlign w:val="center"/>
          </w:tcPr>
          <w:p w:rsidR="008A528C" w:rsidRDefault="008A528C">
            <w:pPr>
              <w:pStyle w:val="ConsPlusNormal"/>
              <w:jc w:val="center"/>
            </w:pPr>
            <w:r>
              <w:t>Содержание обязательного требования</w:t>
            </w:r>
          </w:p>
        </w:tc>
        <w:tc>
          <w:tcPr>
            <w:tcW w:w="640" w:type="dxa"/>
            <w:vMerge w:val="restart"/>
            <w:vAlign w:val="center"/>
          </w:tcPr>
          <w:p w:rsidR="008A528C" w:rsidRDefault="008A528C">
            <w:pPr>
              <w:pStyle w:val="ConsPlusNormal"/>
              <w:jc w:val="center"/>
            </w:pPr>
            <w:r>
              <w:t>Комментарий</w:t>
            </w:r>
          </w:p>
        </w:tc>
        <w:tc>
          <w:tcPr>
            <w:tcW w:w="624" w:type="dxa"/>
            <w:vMerge/>
          </w:tcPr>
          <w:p w:rsidR="008A528C" w:rsidRDefault="008A528C"/>
        </w:tc>
      </w:tr>
      <w:tr w:rsidR="008A528C">
        <w:tc>
          <w:tcPr>
            <w:tcW w:w="688" w:type="dxa"/>
            <w:vMerge/>
          </w:tcPr>
          <w:p w:rsidR="008A528C" w:rsidRDefault="008A528C"/>
        </w:tc>
        <w:tc>
          <w:tcPr>
            <w:tcW w:w="510" w:type="dxa"/>
            <w:vAlign w:val="center"/>
          </w:tcPr>
          <w:p w:rsidR="008A528C" w:rsidRDefault="008A528C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628" w:type="dxa"/>
            <w:vAlign w:val="center"/>
          </w:tcPr>
          <w:p w:rsidR="008A528C" w:rsidRDefault="008A528C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567" w:type="dxa"/>
            <w:vAlign w:val="center"/>
          </w:tcPr>
          <w:p w:rsidR="008A528C" w:rsidRDefault="008A528C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628" w:type="dxa"/>
            <w:vAlign w:val="center"/>
          </w:tcPr>
          <w:p w:rsidR="008A528C" w:rsidRDefault="008A528C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689" w:type="dxa"/>
            <w:vAlign w:val="center"/>
          </w:tcPr>
          <w:p w:rsidR="008A528C" w:rsidRDefault="008A528C">
            <w:pPr>
              <w:pStyle w:val="ConsPlusNormal"/>
              <w:jc w:val="center"/>
            </w:pPr>
            <w:r>
              <w:t>Код типа субъекта мониторинга</w:t>
            </w:r>
          </w:p>
        </w:tc>
        <w:tc>
          <w:tcPr>
            <w:tcW w:w="680" w:type="dxa"/>
            <w:vMerge/>
          </w:tcPr>
          <w:p w:rsidR="008A528C" w:rsidRDefault="008A528C"/>
        </w:tc>
        <w:tc>
          <w:tcPr>
            <w:tcW w:w="794" w:type="dxa"/>
            <w:vAlign w:val="center"/>
          </w:tcPr>
          <w:p w:rsidR="008A528C" w:rsidRDefault="008A528C">
            <w:pPr>
              <w:pStyle w:val="ConsPlusNormal"/>
              <w:jc w:val="center"/>
            </w:pPr>
            <w:r>
              <w:t>регламентированный</w:t>
            </w:r>
          </w:p>
        </w:tc>
        <w:tc>
          <w:tcPr>
            <w:tcW w:w="709" w:type="dxa"/>
            <w:vAlign w:val="center"/>
          </w:tcPr>
          <w:p w:rsidR="008A528C" w:rsidRDefault="008A528C">
            <w:pPr>
              <w:pStyle w:val="ConsPlusNormal"/>
              <w:jc w:val="center"/>
            </w:pPr>
            <w:r>
              <w:t>фактический</w:t>
            </w:r>
          </w:p>
        </w:tc>
        <w:tc>
          <w:tcPr>
            <w:tcW w:w="664" w:type="dxa"/>
            <w:vMerge/>
          </w:tcPr>
          <w:p w:rsidR="008A528C" w:rsidRDefault="008A528C"/>
        </w:tc>
        <w:tc>
          <w:tcPr>
            <w:tcW w:w="699" w:type="dxa"/>
            <w:vMerge/>
          </w:tcPr>
          <w:p w:rsidR="008A528C" w:rsidRDefault="008A528C"/>
        </w:tc>
        <w:tc>
          <w:tcPr>
            <w:tcW w:w="620" w:type="dxa"/>
            <w:vMerge/>
          </w:tcPr>
          <w:p w:rsidR="008A528C" w:rsidRDefault="008A528C"/>
        </w:tc>
        <w:tc>
          <w:tcPr>
            <w:tcW w:w="907" w:type="dxa"/>
            <w:vMerge/>
          </w:tcPr>
          <w:p w:rsidR="008A528C" w:rsidRDefault="008A528C"/>
        </w:tc>
        <w:tc>
          <w:tcPr>
            <w:tcW w:w="640" w:type="dxa"/>
            <w:vMerge/>
          </w:tcPr>
          <w:p w:rsidR="008A528C" w:rsidRDefault="008A528C"/>
        </w:tc>
        <w:tc>
          <w:tcPr>
            <w:tcW w:w="689" w:type="dxa"/>
            <w:vMerge/>
          </w:tcPr>
          <w:p w:rsidR="008A528C" w:rsidRDefault="008A528C"/>
        </w:tc>
        <w:tc>
          <w:tcPr>
            <w:tcW w:w="704" w:type="dxa"/>
            <w:vMerge/>
          </w:tcPr>
          <w:p w:rsidR="008A528C" w:rsidRDefault="008A528C"/>
        </w:tc>
        <w:tc>
          <w:tcPr>
            <w:tcW w:w="694" w:type="dxa"/>
            <w:vMerge/>
          </w:tcPr>
          <w:p w:rsidR="008A528C" w:rsidRDefault="008A528C"/>
        </w:tc>
        <w:tc>
          <w:tcPr>
            <w:tcW w:w="640" w:type="dxa"/>
            <w:vMerge/>
          </w:tcPr>
          <w:p w:rsidR="008A528C" w:rsidRDefault="008A528C"/>
        </w:tc>
        <w:tc>
          <w:tcPr>
            <w:tcW w:w="964" w:type="dxa"/>
            <w:vMerge/>
          </w:tcPr>
          <w:p w:rsidR="008A528C" w:rsidRDefault="008A528C"/>
        </w:tc>
        <w:tc>
          <w:tcPr>
            <w:tcW w:w="794" w:type="dxa"/>
            <w:vMerge/>
          </w:tcPr>
          <w:p w:rsidR="008A528C" w:rsidRDefault="008A528C"/>
        </w:tc>
        <w:tc>
          <w:tcPr>
            <w:tcW w:w="640" w:type="dxa"/>
            <w:vMerge/>
          </w:tcPr>
          <w:p w:rsidR="008A528C" w:rsidRDefault="008A528C"/>
        </w:tc>
        <w:tc>
          <w:tcPr>
            <w:tcW w:w="624" w:type="dxa"/>
            <w:vMerge/>
          </w:tcPr>
          <w:p w:rsidR="008A528C" w:rsidRDefault="008A528C"/>
        </w:tc>
      </w:tr>
      <w:tr w:rsidR="008A528C">
        <w:tc>
          <w:tcPr>
            <w:tcW w:w="688" w:type="dxa"/>
            <w:vAlign w:val="center"/>
          </w:tcPr>
          <w:p w:rsidR="008A528C" w:rsidRDefault="008A528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" w:type="dxa"/>
            <w:vAlign w:val="center"/>
          </w:tcPr>
          <w:p w:rsidR="008A528C" w:rsidRDefault="008A528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28" w:type="dxa"/>
            <w:vAlign w:val="center"/>
          </w:tcPr>
          <w:p w:rsidR="008A528C" w:rsidRDefault="008A528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8A528C" w:rsidRDefault="008A528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28" w:type="dxa"/>
            <w:vAlign w:val="center"/>
          </w:tcPr>
          <w:p w:rsidR="008A528C" w:rsidRDefault="008A528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9" w:type="dxa"/>
            <w:vAlign w:val="center"/>
          </w:tcPr>
          <w:p w:rsidR="008A528C" w:rsidRDefault="008A528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  <w:vAlign w:val="center"/>
          </w:tcPr>
          <w:p w:rsidR="008A528C" w:rsidRDefault="008A528C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94" w:type="dxa"/>
            <w:vAlign w:val="center"/>
          </w:tcPr>
          <w:p w:rsidR="008A528C" w:rsidRDefault="008A528C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09" w:type="dxa"/>
            <w:vAlign w:val="center"/>
          </w:tcPr>
          <w:p w:rsidR="008A528C" w:rsidRDefault="008A528C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64" w:type="dxa"/>
            <w:vAlign w:val="center"/>
          </w:tcPr>
          <w:p w:rsidR="008A528C" w:rsidRDefault="008A528C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99" w:type="dxa"/>
            <w:vAlign w:val="center"/>
          </w:tcPr>
          <w:p w:rsidR="008A528C" w:rsidRDefault="008A528C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20" w:type="dxa"/>
            <w:vAlign w:val="center"/>
          </w:tcPr>
          <w:p w:rsidR="008A528C" w:rsidRDefault="008A528C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7" w:type="dxa"/>
            <w:vAlign w:val="center"/>
          </w:tcPr>
          <w:p w:rsidR="008A528C" w:rsidRDefault="008A528C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40" w:type="dxa"/>
            <w:vAlign w:val="center"/>
          </w:tcPr>
          <w:p w:rsidR="008A528C" w:rsidRDefault="008A528C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9" w:type="dxa"/>
            <w:vAlign w:val="center"/>
          </w:tcPr>
          <w:p w:rsidR="008A528C" w:rsidRDefault="008A528C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04" w:type="dxa"/>
            <w:vAlign w:val="center"/>
          </w:tcPr>
          <w:p w:rsidR="008A528C" w:rsidRDefault="008A528C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694" w:type="dxa"/>
            <w:vAlign w:val="center"/>
          </w:tcPr>
          <w:p w:rsidR="008A528C" w:rsidRDefault="008A528C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640" w:type="dxa"/>
            <w:vAlign w:val="center"/>
          </w:tcPr>
          <w:p w:rsidR="008A528C" w:rsidRDefault="008A528C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64" w:type="dxa"/>
            <w:vAlign w:val="center"/>
          </w:tcPr>
          <w:p w:rsidR="008A528C" w:rsidRDefault="008A528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94" w:type="dxa"/>
            <w:vAlign w:val="center"/>
          </w:tcPr>
          <w:p w:rsidR="008A528C" w:rsidRDefault="008A528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40" w:type="dxa"/>
            <w:vAlign w:val="center"/>
          </w:tcPr>
          <w:p w:rsidR="008A528C" w:rsidRDefault="008A528C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24" w:type="dxa"/>
            <w:vAlign w:val="center"/>
          </w:tcPr>
          <w:p w:rsidR="008A528C" w:rsidRDefault="008A528C">
            <w:pPr>
              <w:pStyle w:val="ConsPlusNormal"/>
              <w:jc w:val="center"/>
            </w:pPr>
            <w:r>
              <w:t>22</w:t>
            </w:r>
          </w:p>
        </w:tc>
      </w:tr>
      <w:tr w:rsidR="008A528C">
        <w:tc>
          <w:tcPr>
            <w:tcW w:w="688" w:type="dxa"/>
          </w:tcPr>
          <w:p w:rsidR="008A528C" w:rsidRDefault="008A528C">
            <w:pPr>
              <w:pStyle w:val="ConsPlusNormal"/>
            </w:pPr>
          </w:p>
        </w:tc>
        <w:tc>
          <w:tcPr>
            <w:tcW w:w="510" w:type="dxa"/>
          </w:tcPr>
          <w:p w:rsidR="008A528C" w:rsidRDefault="008A528C">
            <w:pPr>
              <w:pStyle w:val="ConsPlusNormal"/>
            </w:pPr>
          </w:p>
        </w:tc>
        <w:tc>
          <w:tcPr>
            <w:tcW w:w="628" w:type="dxa"/>
          </w:tcPr>
          <w:p w:rsidR="008A528C" w:rsidRDefault="008A528C">
            <w:pPr>
              <w:pStyle w:val="ConsPlusNormal"/>
            </w:pPr>
          </w:p>
        </w:tc>
        <w:tc>
          <w:tcPr>
            <w:tcW w:w="567" w:type="dxa"/>
          </w:tcPr>
          <w:p w:rsidR="008A528C" w:rsidRDefault="008A528C">
            <w:pPr>
              <w:pStyle w:val="ConsPlusNormal"/>
            </w:pPr>
          </w:p>
        </w:tc>
        <w:tc>
          <w:tcPr>
            <w:tcW w:w="628" w:type="dxa"/>
          </w:tcPr>
          <w:p w:rsidR="008A528C" w:rsidRDefault="008A528C">
            <w:pPr>
              <w:pStyle w:val="ConsPlusNormal"/>
            </w:pPr>
          </w:p>
        </w:tc>
        <w:tc>
          <w:tcPr>
            <w:tcW w:w="689" w:type="dxa"/>
          </w:tcPr>
          <w:p w:rsidR="008A528C" w:rsidRDefault="008A528C">
            <w:pPr>
              <w:pStyle w:val="ConsPlusNormal"/>
            </w:pPr>
          </w:p>
        </w:tc>
        <w:tc>
          <w:tcPr>
            <w:tcW w:w="680" w:type="dxa"/>
          </w:tcPr>
          <w:p w:rsidR="008A528C" w:rsidRDefault="008A528C">
            <w:pPr>
              <w:pStyle w:val="ConsPlusNormal"/>
            </w:pPr>
          </w:p>
        </w:tc>
        <w:tc>
          <w:tcPr>
            <w:tcW w:w="794" w:type="dxa"/>
          </w:tcPr>
          <w:p w:rsidR="008A528C" w:rsidRDefault="008A528C">
            <w:pPr>
              <w:pStyle w:val="ConsPlusNormal"/>
            </w:pPr>
          </w:p>
        </w:tc>
        <w:tc>
          <w:tcPr>
            <w:tcW w:w="709" w:type="dxa"/>
          </w:tcPr>
          <w:p w:rsidR="008A528C" w:rsidRDefault="008A528C">
            <w:pPr>
              <w:pStyle w:val="ConsPlusNormal"/>
            </w:pPr>
          </w:p>
        </w:tc>
        <w:tc>
          <w:tcPr>
            <w:tcW w:w="664" w:type="dxa"/>
          </w:tcPr>
          <w:p w:rsidR="008A528C" w:rsidRDefault="008A528C">
            <w:pPr>
              <w:pStyle w:val="ConsPlusNormal"/>
            </w:pPr>
          </w:p>
        </w:tc>
        <w:tc>
          <w:tcPr>
            <w:tcW w:w="699" w:type="dxa"/>
          </w:tcPr>
          <w:p w:rsidR="008A528C" w:rsidRDefault="008A528C">
            <w:pPr>
              <w:pStyle w:val="ConsPlusNormal"/>
            </w:pPr>
          </w:p>
        </w:tc>
        <w:tc>
          <w:tcPr>
            <w:tcW w:w="620" w:type="dxa"/>
          </w:tcPr>
          <w:p w:rsidR="008A528C" w:rsidRDefault="008A528C">
            <w:pPr>
              <w:pStyle w:val="ConsPlusNormal"/>
            </w:pPr>
          </w:p>
        </w:tc>
        <w:tc>
          <w:tcPr>
            <w:tcW w:w="907" w:type="dxa"/>
          </w:tcPr>
          <w:p w:rsidR="008A528C" w:rsidRDefault="008A528C">
            <w:pPr>
              <w:pStyle w:val="ConsPlusNormal"/>
            </w:pPr>
          </w:p>
        </w:tc>
        <w:tc>
          <w:tcPr>
            <w:tcW w:w="640" w:type="dxa"/>
          </w:tcPr>
          <w:p w:rsidR="008A528C" w:rsidRDefault="008A528C">
            <w:pPr>
              <w:pStyle w:val="ConsPlusNormal"/>
            </w:pPr>
          </w:p>
        </w:tc>
        <w:tc>
          <w:tcPr>
            <w:tcW w:w="689" w:type="dxa"/>
          </w:tcPr>
          <w:p w:rsidR="008A528C" w:rsidRDefault="008A528C">
            <w:pPr>
              <w:pStyle w:val="ConsPlusNormal"/>
            </w:pPr>
          </w:p>
        </w:tc>
        <w:tc>
          <w:tcPr>
            <w:tcW w:w="704" w:type="dxa"/>
          </w:tcPr>
          <w:p w:rsidR="008A528C" w:rsidRDefault="008A528C">
            <w:pPr>
              <w:pStyle w:val="ConsPlusNormal"/>
            </w:pPr>
          </w:p>
        </w:tc>
        <w:tc>
          <w:tcPr>
            <w:tcW w:w="694" w:type="dxa"/>
          </w:tcPr>
          <w:p w:rsidR="008A528C" w:rsidRDefault="008A528C">
            <w:pPr>
              <w:pStyle w:val="ConsPlusNormal"/>
            </w:pPr>
          </w:p>
        </w:tc>
        <w:tc>
          <w:tcPr>
            <w:tcW w:w="640" w:type="dxa"/>
          </w:tcPr>
          <w:p w:rsidR="008A528C" w:rsidRDefault="008A528C">
            <w:pPr>
              <w:pStyle w:val="ConsPlusNormal"/>
            </w:pPr>
          </w:p>
        </w:tc>
        <w:tc>
          <w:tcPr>
            <w:tcW w:w="964" w:type="dxa"/>
          </w:tcPr>
          <w:p w:rsidR="008A528C" w:rsidRDefault="008A528C">
            <w:pPr>
              <w:pStyle w:val="ConsPlusNormal"/>
            </w:pPr>
          </w:p>
        </w:tc>
        <w:tc>
          <w:tcPr>
            <w:tcW w:w="794" w:type="dxa"/>
          </w:tcPr>
          <w:p w:rsidR="008A528C" w:rsidRDefault="008A528C">
            <w:pPr>
              <w:pStyle w:val="ConsPlusNormal"/>
            </w:pPr>
          </w:p>
        </w:tc>
        <w:tc>
          <w:tcPr>
            <w:tcW w:w="640" w:type="dxa"/>
          </w:tcPr>
          <w:p w:rsidR="008A528C" w:rsidRDefault="008A528C">
            <w:pPr>
              <w:pStyle w:val="ConsPlusNormal"/>
            </w:pPr>
          </w:p>
        </w:tc>
        <w:tc>
          <w:tcPr>
            <w:tcW w:w="624" w:type="dxa"/>
          </w:tcPr>
          <w:p w:rsidR="008A528C" w:rsidRDefault="008A528C">
            <w:pPr>
              <w:pStyle w:val="ConsPlusNormal"/>
            </w:pPr>
          </w:p>
        </w:tc>
      </w:tr>
      <w:tr w:rsidR="008A528C">
        <w:tc>
          <w:tcPr>
            <w:tcW w:w="688" w:type="dxa"/>
          </w:tcPr>
          <w:p w:rsidR="008A528C" w:rsidRDefault="008A528C">
            <w:pPr>
              <w:pStyle w:val="ConsPlusNormal"/>
            </w:pPr>
          </w:p>
        </w:tc>
        <w:tc>
          <w:tcPr>
            <w:tcW w:w="510" w:type="dxa"/>
          </w:tcPr>
          <w:p w:rsidR="008A528C" w:rsidRDefault="008A528C">
            <w:pPr>
              <w:pStyle w:val="ConsPlusNormal"/>
            </w:pPr>
          </w:p>
        </w:tc>
        <w:tc>
          <w:tcPr>
            <w:tcW w:w="628" w:type="dxa"/>
          </w:tcPr>
          <w:p w:rsidR="008A528C" w:rsidRDefault="008A528C">
            <w:pPr>
              <w:pStyle w:val="ConsPlusNormal"/>
            </w:pPr>
          </w:p>
        </w:tc>
        <w:tc>
          <w:tcPr>
            <w:tcW w:w="567" w:type="dxa"/>
          </w:tcPr>
          <w:p w:rsidR="008A528C" w:rsidRDefault="008A528C">
            <w:pPr>
              <w:pStyle w:val="ConsPlusNormal"/>
            </w:pPr>
          </w:p>
        </w:tc>
        <w:tc>
          <w:tcPr>
            <w:tcW w:w="628" w:type="dxa"/>
          </w:tcPr>
          <w:p w:rsidR="008A528C" w:rsidRDefault="008A528C">
            <w:pPr>
              <w:pStyle w:val="ConsPlusNormal"/>
            </w:pPr>
          </w:p>
        </w:tc>
        <w:tc>
          <w:tcPr>
            <w:tcW w:w="689" w:type="dxa"/>
          </w:tcPr>
          <w:p w:rsidR="008A528C" w:rsidRDefault="008A528C">
            <w:pPr>
              <w:pStyle w:val="ConsPlusNormal"/>
            </w:pPr>
          </w:p>
        </w:tc>
        <w:tc>
          <w:tcPr>
            <w:tcW w:w="680" w:type="dxa"/>
          </w:tcPr>
          <w:p w:rsidR="008A528C" w:rsidRDefault="008A528C">
            <w:pPr>
              <w:pStyle w:val="ConsPlusNormal"/>
            </w:pPr>
          </w:p>
        </w:tc>
        <w:tc>
          <w:tcPr>
            <w:tcW w:w="794" w:type="dxa"/>
          </w:tcPr>
          <w:p w:rsidR="008A528C" w:rsidRDefault="008A528C">
            <w:pPr>
              <w:pStyle w:val="ConsPlusNormal"/>
            </w:pPr>
          </w:p>
        </w:tc>
        <w:tc>
          <w:tcPr>
            <w:tcW w:w="709" w:type="dxa"/>
          </w:tcPr>
          <w:p w:rsidR="008A528C" w:rsidRDefault="008A528C">
            <w:pPr>
              <w:pStyle w:val="ConsPlusNormal"/>
            </w:pPr>
          </w:p>
        </w:tc>
        <w:tc>
          <w:tcPr>
            <w:tcW w:w="664" w:type="dxa"/>
          </w:tcPr>
          <w:p w:rsidR="008A528C" w:rsidRDefault="008A528C">
            <w:pPr>
              <w:pStyle w:val="ConsPlusNormal"/>
            </w:pPr>
          </w:p>
        </w:tc>
        <w:tc>
          <w:tcPr>
            <w:tcW w:w="699" w:type="dxa"/>
          </w:tcPr>
          <w:p w:rsidR="008A528C" w:rsidRDefault="008A528C">
            <w:pPr>
              <w:pStyle w:val="ConsPlusNormal"/>
            </w:pPr>
          </w:p>
        </w:tc>
        <w:tc>
          <w:tcPr>
            <w:tcW w:w="620" w:type="dxa"/>
          </w:tcPr>
          <w:p w:rsidR="008A528C" w:rsidRDefault="008A528C">
            <w:pPr>
              <w:pStyle w:val="ConsPlusNormal"/>
            </w:pPr>
          </w:p>
        </w:tc>
        <w:tc>
          <w:tcPr>
            <w:tcW w:w="907" w:type="dxa"/>
          </w:tcPr>
          <w:p w:rsidR="008A528C" w:rsidRDefault="008A528C">
            <w:pPr>
              <w:pStyle w:val="ConsPlusNormal"/>
            </w:pPr>
          </w:p>
        </w:tc>
        <w:tc>
          <w:tcPr>
            <w:tcW w:w="640" w:type="dxa"/>
          </w:tcPr>
          <w:p w:rsidR="008A528C" w:rsidRDefault="008A528C">
            <w:pPr>
              <w:pStyle w:val="ConsPlusNormal"/>
            </w:pPr>
          </w:p>
        </w:tc>
        <w:tc>
          <w:tcPr>
            <w:tcW w:w="689" w:type="dxa"/>
          </w:tcPr>
          <w:p w:rsidR="008A528C" w:rsidRDefault="008A528C">
            <w:pPr>
              <w:pStyle w:val="ConsPlusNormal"/>
            </w:pPr>
          </w:p>
        </w:tc>
        <w:tc>
          <w:tcPr>
            <w:tcW w:w="704" w:type="dxa"/>
          </w:tcPr>
          <w:p w:rsidR="008A528C" w:rsidRDefault="008A528C">
            <w:pPr>
              <w:pStyle w:val="ConsPlusNormal"/>
            </w:pPr>
          </w:p>
        </w:tc>
        <w:tc>
          <w:tcPr>
            <w:tcW w:w="694" w:type="dxa"/>
          </w:tcPr>
          <w:p w:rsidR="008A528C" w:rsidRDefault="008A528C">
            <w:pPr>
              <w:pStyle w:val="ConsPlusNormal"/>
            </w:pPr>
          </w:p>
        </w:tc>
        <w:tc>
          <w:tcPr>
            <w:tcW w:w="640" w:type="dxa"/>
          </w:tcPr>
          <w:p w:rsidR="008A528C" w:rsidRDefault="008A528C">
            <w:pPr>
              <w:pStyle w:val="ConsPlusNormal"/>
            </w:pPr>
          </w:p>
        </w:tc>
        <w:tc>
          <w:tcPr>
            <w:tcW w:w="964" w:type="dxa"/>
          </w:tcPr>
          <w:p w:rsidR="008A528C" w:rsidRDefault="008A528C">
            <w:pPr>
              <w:pStyle w:val="ConsPlusNormal"/>
            </w:pPr>
          </w:p>
        </w:tc>
        <w:tc>
          <w:tcPr>
            <w:tcW w:w="794" w:type="dxa"/>
          </w:tcPr>
          <w:p w:rsidR="008A528C" w:rsidRDefault="008A528C">
            <w:pPr>
              <w:pStyle w:val="ConsPlusNormal"/>
            </w:pPr>
          </w:p>
        </w:tc>
        <w:tc>
          <w:tcPr>
            <w:tcW w:w="640" w:type="dxa"/>
          </w:tcPr>
          <w:p w:rsidR="008A528C" w:rsidRDefault="008A528C">
            <w:pPr>
              <w:pStyle w:val="ConsPlusNormal"/>
            </w:pPr>
          </w:p>
        </w:tc>
        <w:tc>
          <w:tcPr>
            <w:tcW w:w="624" w:type="dxa"/>
          </w:tcPr>
          <w:p w:rsidR="008A528C" w:rsidRDefault="008A528C">
            <w:pPr>
              <w:pStyle w:val="ConsPlusNormal"/>
            </w:pPr>
          </w:p>
        </w:tc>
      </w:tr>
      <w:tr w:rsidR="008A528C">
        <w:tc>
          <w:tcPr>
            <w:tcW w:w="688" w:type="dxa"/>
          </w:tcPr>
          <w:p w:rsidR="008A528C" w:rsidRDefault="008A528C">
            <w:pPr>
              <w:pStyle w:val="ConsPlusNormal"/>
            </w:pPr>
          </w:p>
        </w:tc>
        <w:tc>
          <w:tcPr>
            <w:tcW w:w="510" w:type="dxa"/>
          </w:tcPr>
          <w:p w:rsidR="008A528C" w:rsidRDefault="008A528C">
            <w:pPr>
              <w:pStyle w:val="ConsPlusNormal"/>
            </w:pPr>
          </w:p>
        </w:tc>
        <w:tc>
          <w:tcPr>
            <w:tcW w:w="628" w:type="dxa"/>
          </w:tcPr>
          <w:p w:rsidR="008A528C" w:rsidRDefault="008A528C">
            <w:pPr>
              <w:pStyle w:val="ConsPlusNormal"/>
            </w:pPr>
          </w:p>
        </w:tc>
        <w:tc>
          <w:tcPr>
            <w:tcW w:w="567" w:type="dxa"/>
          </w:tcPr>
          <w:p w:rsidR="008A528C" w:rsidRDefault="008A528C">
            <w:pPr>
              <w:pStyle w:val="ConsPlusNormal"/>
            </w:pPr>
          </w:p>
        </w:tc>
        <w:tc>
          <w:tcPr>
            <w:tcW w:w="628" w:type="dxa"/>
          </w:tcPr>
          <w:p w:rsidR="008A528C" w:rsidRDefault="008A528C">
            <w:pPr>
              <w:pStyle w:val="ConsPlusNormal"/>
            </w:pPr>
          </w:p>
        </w:tc>
        <w:tc>
          <w:tcPr>
            <w:tcW w:w="689" w:type="dxa"/>
          </w:tcPr>
          <w:p w:rsidR="008A528C" w:rsidRDefault="008A528C">
            <w:pPr>
              <w:pStyle w:val="ConsPlusNormal"/>
            </w:pPr>
          </w:p>
        </w:tc>
        <w:tc>
          <w:tcPr>
            <w:tcW w:w="680" w:type="dxa"/>
          </w:tcPr>
          <w:p w:rsidR="008A528C" w:rsidRDefault="008A528C">
            <w:pPr>
              <w:pStyle w:val="ConsPlusNormal"/>
            </w:pPr>
          </w:p>
        </w:tc>
        <w:tc>
          <w:tcPr>
            <w:tcW w:w="794" w:type="dxa"/>
          </w:tcPr>
          <w:p w:rsidR="008A528C" w:rsidRDefault="008A528C">
            <w:pPr>
              <w:pStyle w:val="ConsPlusNormal"/>
            </w:pPr>
          </w:p>
        </w:tc>
        <w:tc>
          <w:tcPr>
            <w:tcW w:w="709" w:type="dxa"/>
          </w:tcPr>
          <w:p w:rsidR="008A528C" w:rsidRDefault="008A528C">
            <w:pPr>
              <w:pStyle w:val="ConsPlusNormal"/>
            </w:pPr>
          </w:p>
        </w:tc>
        <w:tc>
          <w:tcPr>
            <w:tcW w:w="664" w:type="dxa"/>
          </w:tcPr>
          <w:p w:rsidR="008A528C" w:rsidRDefault="008A528C">
            <w:pPr>
              <w:pStyle w:val="ConsPlusNormal"/>
            </w:pPr>
          </w:p>
        </w:tc>
        <w:tc>
          <w:tcPr>
            <w:tcW w:w="699" w:type="dxa"/>
          </w:tcPr>
          <w:p w:rsidR="008A528C" w:rsidRDefault="008A528C">
            <w:pPr>
              <w:pStyle w:val="ConsPlusNormal"/>
            </w:pPr>
          </w:p>
        </w:tc>
        <w:tc>
          <w:tcPr>
            <w:tcW w:w="620" w:type="dxa"/>
          </w:tcPr>
          <w:p w:rsidR="008A528C" w:rsidRDefault="008A528C">
            <w:pPr>
              <w:pStyle w:val="ConsPlusNormal"/>
            </w:pPr>
          </w:p>
        </w:tc>
        <w:tc>
          <w:tcPr>
            <w:tcW w:w="907" w:type="dxa"/>
          </w:tcPr>
          <w:p w:rsidR="008A528C" w:rsidRDefault="008A528C">
            <w:pPr>
              <w:pStyle w:val="ConsPlusNormal"/>
            </w:pPr>
          </w:p>
        </w:tc>
        <w:tc>
          <w:tcPr>
            <w:tcW w:w="640" w:type="dxa"/>
          </w:tcPr>
          <w:p w:rsidR="008A528C" w:rsidRDefault="008A528C">
            <w:pPr>
              <w:pStyle w:val="ConsPlusNormal"/>
            </w:pPr>
          </w:p>
        </w:tc>
        <w:tc>
          <w:tcPr>
            <w:tcW w:w="689" w:type="dxa"/>
          </w:tcPr>
          <w:p w:rsidR="008A528C" w:rsidRDefault="008A528C">
            <w:pPr>
              <w:pStyle w:val="ConsPlusNormal"/>
            </w:pPr>
          </w:p>
        </w:tc>
        <w:tc>
          <w:tcPr>
            <w:tcW w:w="704" w:type="dxa"/>
          </w:tcPr>
          <w:p w:rsidR="008A528C" w:rsidRDefault="008A528C">
            <w:pPr>
              <w:pStyle w:val="ConsPlusNormal"/>
            </w:pPr>
          </w:p>
        </w:tc>
        <w:tc>
          <w:tcPr>
            <w:tcW w:w="694" w:type="dxa"/>
          </w:tcPr>
          <w:p w:rsidR="008A528C" w:rsidRDefault="008A528C">
            <w:pPr>
              <w:pStyle w:val="ConsPlusNormal"/>
            </w:pPr>
          </w:p>
        </w:tc>
        <w:tc>
          <w:tcPr>
            <w:tcW w:w="640" w:type="dxa"/>
          </w:tcPr>
          <w:p w:rsidR="008A528C" w:rsidRDefault="008A528C">
            <w:pPr>
              <w:pStyle w:val="ConsPlusNormal"/>
            </w:pPr>
          </w:p>
        </w:tc>
        <w:tc>
          <w:tcPr>
            <w:tcW w:w="964" w:type="dxa"/>
          </w:tcPr>
          <w:p w:rsidR="008A528C" w:rsidRDefault="008A528C">
            <w:pPr>
              <w:pStyle w:val="ConsPlusNormal"/>
            </w:pPr>
          </w:p>
        </w:tc>
        <w:tc>
          <w:tcPr>
            <w:tcW w:w="794" w:type="dxa"/>
          </w:tcPr>
          <w:p w:rsidR="008A528C" w:rsidRDefault="008A528C">
            <w:pPr>
              <w:pStyle w:val="ConsPlusNormal"/>
            </w:pPr>
          </w:p>
        </w:tc>
        <w:tc>
          <w:tcPr>
            <w:tcW w:w="640" w:type="dxa"/>
          </w:tcPr>
          <w:p w:rsidR="008A528C" w:rsidRDefault="008A528C">
            <w:pPr>
              <w:pStyle w:val="ConsPlusNormal"/>
            </w:pPr>
          </w:p>
        </w:tc>
        <w:tc>
          <w:tcPr>
            <w:tcW w:w="624" w:type="dxa"/>
          </w:tcPr>
          <w:p w:rsidR="008A528C" w:rsidRDefault="008A528C">
            <w:pPr>
              <w:pStyle w:val="ConsPlusNormal"/>
            </w:pPr>
          </w:p>
        </w:tc>
      </w:tr>
    </w:tbl>
    <w:p w:rsidR="008A528C" w:rsidRDefault="008A528C">
      <w:pPr>
        <w:pStyle w:val="ConsPlusNormal"/>
        <w:ind w:firstLine="540"/>
        <w:jc w:val="both"/>
      </w:pPr>
    </w:p>
    <w:p w:rsidR="008A528C" w:rsidRDefault="008A528C">
      <w:pPr>
        <w:pStyle w:val="ConsPlusNormal"/>
        <w:ind w:firstLine="540"/>
        <w:jc w:val="both"/>
      </w:pPr>
    </w:p>
    <w:p w:rsidR="008A528C" w:rsidRDefault="008A528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379E0" w:rsidRDefault="006379E0"/>
    <w:sectPr w:rsidR="006379E0" w:rsidSect="006C6921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28C"/>
    <w:rsid w:val="006379E0"/>
    <w:rsid w:val="008A5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A52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A52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A52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A528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A52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A52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A52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A528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41CF6DBC04391C4352A9B8BD5D7A256825E9DB12EFB167F5E80F330A8767DDDCB9FAEB722271569A34503EC58CFB9D46027CB3FC79A8A6Cg6g2H" TargetMode="External"/><Relationship Id="rId13" Type="http://schemas.openxmlformats.org/officeDocument/2006/relationships/hyperlink" Target="consultantplus://offline/ref=341CF6DBC04391C4352A9B8BD5D7A256825E9DB12EFB167F5E80F330A8767DDDCB9FAEB722271569AD4503EC58CFB9D46027CB3FC79A8A6Cg6g2H" TargetMode="External"/><Relationship Id="rId18" Type="http://schemas.openxmlformats.org/officeDocument/2006/relationships/hyperlink" Target="consultantplus://offline/ref=341CF6DBC04391C4352A9292D2D7A256865E9ABF2AF3167F5E80F330A8767DDDCB9FAEBE2973442DF04357B5029AB1CA6A39C9g3gAH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341CF6DBC04391C4352A9292D2D7A25686589DBB2DF2167F5E80F330A8767DDDCB9FAEB722261560A14503EC58CFB9D46027CB3FC79A8A6Cg6g2H" TargetMode="External"/><Relationship Id="rId7" Type="http://schemas.openxmlformats.org/officeDocument/2006/relationships/hyperlink" Target="consultantplus://offline/ref=341CF6DBC04391C4352A9B8BD5D7A256825D9EBA25FD167F5E80F330A8767DDDCB9FAEB722271569A34503EC58CFB9D46027CB3FC79A8A6Cg6g2H" TargetMode="External"/><Relationship Id="rId12" Type="http://schemas.openxmlformats.org/officeDocument/2006/relationships/hyperlink" Target="consultantplus://offline/ref=341CF6DBC04391C4352A9B8BD5D7A256825E9DB12EFB167F5E80F330A8767DDDCB9FAEB722271569A24503EC58CFB9D46027CB3FC79A8A6Cg6g2H" TargetMode="External"/><Relationship Id="rId17" Type="http://schemas.openxmlformats.org/officeDocument/2006/relationships/hyperlink" Target="consultantplus://offline/ref=341CF6DBC04391C4352A9292D2D7A25686589DBB2DF2167F5E80F330A8767DDDCB9FAEB72224116BA54503EC58CFB9D46027CB3FC79A8A6Cg6g2H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341CF6DBC04391C4352A9292D2D7A256865E9ABF2AF3167F5E80F330A8767DDDCB9FAEB32B2E1362F11F13E8119ABCCA683CD538D99Ag8gAH" TargetMode="External"/><Relationship Id="rId20" Type="http://schemas.openxmlformats.org/officeDocument/2006/relationships/hyperlink" Target="consultantplus://offline/ref=341CF6DBC04391C4352A9292D2D7A256865E9ABF2AF3167F5E80F330A8767DDDCB9FAEB722251C60A34503EC58CFB9D46027CB3FC79A8A6Cg6g2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341CF6DBC04391C4352A9B8BD5D7A256825C98BC2AF8167F5E80F330A8767DDDCB9FAEB722271569A34503EC58CFB9D46027CB3FC79A8A6Cg6g2H" TargetMode="External"/><Relationship Id="rId11" Type="http://schemas.openxmlformats.org/officeDocument/2006/relationships/hyperlink" Target="consultantplus://offline/ref=341CF6DBC04391C4352A9292D2D7A256865E9ABF2AF3167F5E80F330A8767DDDCB9FAEB7222E1D6FA44503EC58CFB9D46027CB3FC79A8A6Cg6g2H" TargetMode="External"/><Relationship Id="rId5" Type="http://schemas.openxmlformats.org/officeDocument/2006/relationships/hyperlink" Target="consultantplus://offline/ref=341CF6DBC04391C4352A9B8BD5D7A256825C9AB12DFE167F5E80F330A8767DDDCB9FAEB722271569A34503EC58CFB9D46027CB3FC79A8A6Cg6g2H" TargetMode="External"/><Relationship Id="rId15" Type="http://schemas.openxmlformats.org/officeDocument/2006/relationships/hyperlink" Target="consultantplus://offline/ref=341CF6DBC04391C4352A9292D2D7A256865E9ABF2AF3167F5E80F330A8767DDDCB9FAEB7222E1D6FA74503EC58CFB9D46027CB3FC79A8A6Cg6g2H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341CF6DBC04391C4352A9B8BD5D7A256825F9AB928FE167F5E80F330A8767DDDCB9FAEB722271569A34503EC58CFB9D46027CB3FC79A8A6Cg6g2H" TargetMode="External"/><Relationship Id="rId19" Type="http://schemas.openxmlformats.org/officeDocument/2006/relationships/hyperlink" Target="consultantplus://offline/ref=341CF6DBC04391C4352A9292D2D7A25686589DBB2DF2167F5E80F330A8767DDDCB9FAEB721271D62F11F13E8119ABCCA683CD538D99Ag8gA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41CF6DBC04391C4352A9B8BD5D7A256825E98B92EFA167F5E80F330A8767DDDCB9FAEB722271569A34503EC58CFB9D46027CB3FC79A8A6Cg6g2H" TargetMode="External"/><Relationship Id="rId14" Type="http://schemas.openxmlformats.org/officeDocument/2006/relationships/hyperlink" Target="consultantplus://offline/ref=341CF6DBC04391C4352A9B8BD5D7A256825F9AB928FE167F5E80F330A8767DDDCB9FAEB722271568A54503EC58CFB9D46027CB3FC79A8A6Cg6g2H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5139</Words>
  <Characters>29293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Примечание</dc:creator>
  <cp:lastModifiedBy>Примечание</cp:lastModifiedBy>
  <cp:revision>1</cp:revision>
  <dcterms:created xsi:type="dcterms:W3CDTF">2020-05-08T07:32:00Z</dcterms:created>
  <dcterms:modified xsi:type="dcterms:W3CDTF">2020-05-08T07:34:00Z</dcterms:modified>
</cp:coreProperties>
</file>